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80" w:rightFromText="180" w:vertAnchor="page" w:horzAnchor="page" w:tblpX="855" w:tblpY="1368"/>
        <w:tblOverlap w:val="never"/>
        <w:tblW w:w="10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4044"/>
        <w:gridCol w:w="1128"/>
        <w:gridCol w:w="4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综合业务</w:t>
            </w:r>
          </w:p>
        </w:tc>
        <w:tc>
          <w:tcPr>
            <w:tcW w:w="40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“新四化”背景下提升司法公信力研究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审判技能</w:t>
            </w:r>
          </w:p>
        </w:tc>
        <w:tc>
          <w:tcPr>
            <w:tcW w:w="421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完善审判权的内部监督机制研究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司法行政管理体制改革研究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我国基层人民法院审判委员会运行研究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法院在推进“四个全面”战略中职责研究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关于我国审判管理体制的思考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全面推进人民法院信息化建设研究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网络舆论与法院审判的冲突及协调机制探究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互联网与审判的关系研究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法官审判技能提升路径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民事审判</w:t>
            </w:r>
          </w:p>
        </w:tc>
        <w:tc>
          <w:tcPr>
            <w:tcW w:w="40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民事案件审判流程管理系统的设计与实现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刑事审判</w:t>
            </w:r>
          </w:p>
        </w:tc>
        <w:tc>
          <w:tcPr>
            <w:tcW w:w="4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我国刑事审判制度改革若干问题探讨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行政规范在民事审判中的适用及其问题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中国特色的刑事审判庭前会议制度研究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民事审判法官自由裁量权及其规制研究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定罪量刑分离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——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刑事审判制度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改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革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新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应然与实然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人权保障视角下的民事审判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我国“控辩式”刑事审判的实证考察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民俗习惯在民事审判司法适用的实证分析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审判公开的限度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——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未成年人刑事审判为例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行政审判</w:t>
            </w:r>
          </w:p>
        </w:tc>
        <w:tc>
          <w:tcPr>
            <w:tcW w:w="40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行政法院体系构建的基础、依据及构想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商事审判</w:t>
            </w:r>
          </w:p>
        </w:tc>
        <w:tc>
          <w:tcPr>
            <w:tcW w:w="421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商法的独立性与商事审判的独立化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行政审判中司法建议制度的几个基本问题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商事审判特殊性研究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透视中国的行政审判体制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>: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问题与改革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从经济审判到商事审判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名称、制度之变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行政诉讼一审审判状况研究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涉外民商事审判中的外国法查明制度研究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我国行政审判中调解制度的改革与完善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ascii="宋体" w:hAnsi="宋体" w:cs="宋体"/>
                <w:color w:val="auto"/>
                <w:sz w:val="21"/>
                <w:szCs w:val="21"/>
              </w:rPr>
              <w:t>WTO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与中国涉外民商事审判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知产案件</w:t>
            </w:r>
          </w:p>
        </w:tc>
        <w:tc>
          <w:tcPr>
            <w:tcW w:w="40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知识产权惩罚性赔偿制度研究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color w:val="auto"/>
                <w:sz w:val="21"/>
                <w:szCs w:val="21"/>
              </w:rPr>
              <w:t>环保法庭</w:t>
            </w:r>
          </w:p>
        </w:tc>
        <w:tc>
          <w:tcPr>
            <w:tcW w:w="4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我国环保法庭案件受理的现状分析与研究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禁止权利滥用原则在知识产权领域的适用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我国环保法庭建设及其完善建议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知识产权审判体制改革研究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环境审判专门化的分析与展望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涉外知识产权审判中的法律适用问题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司法专门化视角下我国环保法庭实证研究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知识产权审判“三审合一”的问题及完善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环保法庭在突破环境侵权诉讼中的困境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审判监督</w:t>
            </w:r>
          </w:p>
        </w:tc>
        <w:tc>
          <w:tcPr>
            <w:tcW w:w="40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审判监督职能运行存在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问题及转换路径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  <w:t>执行业务</w:t>
            </w:r>
          </w:p>
        </w:tc>
        <w:tc>
          <w:tcPr>
            <w:tcW w:w="4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《关于人民法院办理执行异议和复议案件若干问题的规定》的理解与适用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基层人民法院审判监督庭职能定位的重构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完善我国行政强制执行制度的建议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刑事审判监督二重性及制度创新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我国法院民事审执分离的法理学思考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民事审判监督程序的定位与结构设计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人民法院“执行难”问题的成因及其对策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04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行政诉讼审判监督程序的调查研究</w:t>
            </w:r>
          </w:p>
        </w:tc>
        <w:tc>
          <w:tcPr>
            <w:tcW w:w="112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42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民事执行听证制度研究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405C1"/>
    <w:rsid w:val="03F405C1"/>
    <w:rsid w:val="1BA205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2016-03-03T01:45:00Z</dcterms:created>
  <dc:creator>Administrator</dc:creator>
  <cp:lastModifiedBy>Administrator</cp:lastModifiedBy>
  <dcterms:modified xsi:type="dcterms:W3CDTF">2016-03-03T07:26:46Z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