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410" w:tblpY="1893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893"/>
        <w:gridCol w:w="1087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综合业务</w:t>
            </w: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刑事错案纠防的检察功能与机制探讨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公诉业务</w:t>
            </w: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outlineLvl w:val="0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我国检察权的反思与重构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新刑诉法实施后检察权运行面临的机遇、挑战及应对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检察机关公诉部门如何适应以审判为中心的诉讼制度改革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检察公信力及其测评体系建构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刑事公诉案件和解制度研究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以审判为中心的诉讼制度改革的应对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检察院提起环境公益行政诉讼的思考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人权保障视野中的检察改革问题研究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我国刑事公诉案件举证责任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相关探析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职务犯罪侦查</w:t>
            </w: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以审判为中心下的职务犯罪侦查改革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审判监督</w:t>
            </w: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检察院刑罚执行监督中的问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题及对策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职务犯罪侦查能力的提升路径及实施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检察机关刑事审判监督职能解构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职务犯罪侦查信息化与侦查模式转变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民事诉讼检察监督实施策略研究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职务犯罪侦查与网络传媒的关系构建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刑事审判监督制度的困境与变革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职务犯罪中犯罪嫌疑人人权保障问题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相对合理视角下的检察机关审判监督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控告申诉</w:t>
            </w: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控告申诉检察工作的性质、职能定位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纪检监察</w:t>
            </w: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基层检察院纪检监察工作的现状及对策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控告申诉检察信访工作的发展及其对策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检察院纪检监察工作探索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检察机关控告申诉首办责任制存在的问题及其完善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纪检监察机关与检察机关办案证据衔接及拓宽机制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检察机关优化诉讼监督工作机制的方案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加强纪检监察确保廉洁从检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新刑事诉讼法视野下的控告申诉检察工作趋势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纪检监察部门与检察机关在反腐败中的关系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侦查监督</w:t>
            </w:r>
          </w:p>
        </w:tc>
        <w:tc>
          <w:tcPr>
            <w:tcW w:w="887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侦查监督制度研究</w:t>
            </w:r>
            <w:r>
              <w:rPr>
                <w:rFonts w:ascii="宋体" w:hAnsi="宋体" w:cs="宋体"/>
                <w:sz w:val="21"/>
                <w:szCs w:val="21"/>
              </w:rPr>
              <w:t>——</w:t>
            </w:r>
            <w:r>
              <w:rPr>
                <w:rFonts w:hint="eastAsia" w:ascii="宋体" w:hAnsi="宋体" w:cs="宋体"/>
                <w:sz w:val="21"/>
                <w:szCs w:val="21"/>
              </w:rPr>
              <w:t>检察引导侦查的基本理论问题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87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当前侦查监督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工作中需要重</w:t>
            </w:r>
            <w:r>
              <w:rPr>
                <w:rFonts w:hint="eastAsia" w:ascii="宋体" w:hAnsi="宋体" w:cs="宋体"/>
                <w:sz w:val="21"/>
                <w:szCs w:val="21"/>
              </w:rPr>
              <w:t>点把握的几个问题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87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检察机关的侦查监督职能及其完善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87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我国职务犯罪侦查监督机制评析及模式选择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87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新刑诉法视角下侦查监督司法实践的改进和完善研究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405C1"/>
    <w:rsid w:val="03F405C1"/>
    <w:rsid w:val="1BA205FF"/>
    <w:rsid w:val="203F2B79"/>
    <w:rsid w:val="76285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2016-03-03T01:45:00Z</dcterms:created>
  <dc:creator>Administrator</dc:creator>
  <cp:lastModifiedBy>Administrator</cp:lastModifiedBy>
  <dcterms:modified xsi:type="dcterms:W3CDTF">2016-03-03T07:31:20Z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