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法治教育</w:t>
      </w:r>
      <w:r>
        <w:rPr>
          <w:rFonts w:hint="eastAsia" w:ascii="宋体" w:hAnsi="宋体" w:eastAsia="宋体" w:cs="宋体"/>
          <w:b/>
          <w:bCs/>
          <w:sz w:val="32"/>
          <w:szCs w:val="32"/>
        </w:rPr>
        <w:t>专题复习</w:t>
      </w:r>
      <w:r>
        <w:rPr>
          <w:rFonts w:hint="eastAsia" w:ascii="宋体" w:hAnsi="宋体" w:eastAsia="宋体" w:cs="宋体"/>
          <w:b/>
          <w:bCs/>
          <w:sz w:val="32"/>
          <w:szCs w:val="32"/>
          <w:lang w:val="en-US" w:eastAsia="zh-CN"/>
        </w:rPr>
        <w:t>教学设计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cs="宋体"/>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【复习目标】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1.立足新课标，通过考情分析，了解中考法治教育高频考点及考查形式。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2.串讲法治教育内容，形成整体知识框架；梳理易错易混点，增强辨识能力，提高客观题的得分率。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3.通过法治视角解读热点素材，在解决问题中提高政治认同和法治素养。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4.结合历年中考真题，分析解题策略，掌握解题技巧。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【导入】</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通过两会期间，安庆桐城的“六尺巷调解法”被写入最高法工作报告一事导入复习课。引导学生了解法治中国建设，需要增强法治观念。</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【复习过程】</w:t>
      </w:r>
    </w:p>
    <w:p>
      <w:pPr>
        <w:rPr>
          <w:rFonts w:hint="eastAsia" w:ascii="宋体" w:hAnsi="宋体" w:eastAsia="宋体" w:cs="宋体"/>
          <w:b/>
          <w:bCs/>
          <w:sz w:val="24"/>
          <w:szCs w:val="24"/>
          <w:u w:val="none"/>
          <w:lang w:val="en-US" w:eastAsia="zh-CN"/>
        </w:rPr>
      </w:pPr>
      <w:r>
        <w:rPr>
          <w:rFonts w:hint="eastAsia" w:ascii="宋体" w:hAnsi="宋体" w:cs="宋体"/>
          <w:b/>
          <w:bCs/>
          <w:sz w:val="24"/>
          <w:szCs w:val="24"/>
          <w:u w:val="none"/>
          <w:lang w:val="en-US" w:eastAsia="zh-CN"/>
        </w:rPr>
        <w:t>一、</w:t>
      </w:r>
      <w:r>
        <w:rPr>
          <w:rFonts w:hint="eastAsia" w:ascii="宋体" w:hAnsi="宋体" w:eastAsia="宋体" w:cs="宋体"/>
          <w:b/>
          <w:bCs/>
          <w:sz w:val="24"/>
          <w:szCs w:val="24"/>
          <w:u w:val="none"/>
          <w:lang w:val="en-US" w:eastAsia="zh-CN"/>
        </w:rPr>
        <w:t>考点串讲及辨识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u w:val="none"/>
          <w:lang w:val="en-US" w:eastAsia="zh-CN"/>
        </w:rPr>
        <w:t>1.构建法治教育知识框架《面对面》P126</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cs="宋体"/>
          <w:b w:val="0"/>
          <w:bCs w:val="0"/>
          <w:sz w:val="24"/>
          <w:szCs w:val="24"/>
          <w:u w:val="none"/>
          <w:lang w:val="en-US" w:eastAsia="zh-CN"/>
        </w:rPr>
        <w:t>2.</w:t>
      </w:r>
      <w:r>
        <w:rPr>
          <w:rFonts w:hint="eastAsia" w:ascii="宋体" w:hAnsi="宋体" w:eastAsia="宋体" w:cs="宋体"/>
          <w:b w:val="0"/>
          <w:bCs w:val="0"/>
          <w:sz w:val="24"/>
          <w:szCs w:val="24"/>
          <w:u w:val="none"/>
          <w:lang w:val="en-US" w:eastAsia="zh-CN"/>
        </w:rPr>
        <w:t>易错易混点辨识</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①我国坚持依法治国的基本国策。</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②宪法是国家的根本法</w:t>
      </w:r>
      <w:r>
        <w:rPr>
          <w:rFonts w:hint="eastAsia" w:ascii="宋体" w:hAnsi="宋体" w:cs="宋体"/>
          <w:b w:val="0"/>
          <w:bCs w:val="0"/>
          <w:sz w:val="24"/>
          <w:szCs w:val="24"/>
          <w:u w:val="none"/>
          <w:lang w:val="en-US" w:eastAsia="zh-CN"/>
        </w:rPr>
        <w:t>，</w:t>
      </w:r>
      <w:r>
        <w:rPr>
          <w:rFonts w:hint="eastAsia" w:ascii="宋体" w:hAnsi="宋体" w:eastAsia="宋体" w:cs="宋体"/>
          <w:b w:val="0"/>
          <w:bCs w:val="0"/>
          <w:sz w:val="24"/>
          <w:szCs w:val="24"/>
          <w:u w:val="none"/>
          <w:lang w:val="en-US" w:eastAsia="zh-CN"/>
        </w:rPr>
        <w:t>要不断提升宪法的法律地位。</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③公民应该增强宪法意识，加强宪法监督</w:t>
      </w:r>
      <w:r>
        <w:rPr>
          <w:rFonts w:hint="eastAsia" w:ascii="宋体" w:hAnsi="宋体" w:cs="宋体"/>
          <w:b w:val="0"/>
          <w:bCs w:val="0"/>
          <w:sz w:val="24"/>
          <w:szCs w:val="24"/>
          <w:u w:val="none"/>
          <w:lang w:val="en-US" w:eastAsia="zh-CN"/>
        </w:rPr>
        <w:t>。</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④</w:t>
      </w:r>
      <w:r>
        <w:rPr>
          <w:rFonts w:hint="eastAsia" w:ascii="宋体" w:hAnsi="宋体" w:cs="宋体"/>
          <w:b w:val="0"/>
          <w:bCs w:val="0"/>
          <w:sz w:val="24"/>
          <w:szCs w:val="24"/>
          <w:u w:val="none"/>
          <w:lang w:val="en-US" w:eastAsia="zh-CN"/>
        </w:rPr>
        <w:t>公民行使权利时</w:t>
      </w:r>
      <w:r>
        <w:rPr>
          <w:rFonts w:hint="eastAsia" w:ascii="宋体" w:hAnsi="宋体" w:eastAsia="宋体" w:cs="宋体"/>
          <w:b w:val="0"/>
          <w:bCs w:val="0"/>
          <w:sz w:val="24"/>
          <w:szCs w:val="24"/>
          <w:u w:val="none"/>
          <w:lang w:val="en-US" w:eastAsia="zh-CN"/>
        </w:rPr>
        <w:t>应做到法无授权不可为。</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⑤丰富民主生活，</w:t>
      </w:r>
      <w:r>
        <w:rPr>
          <w:rFonts w:hint="eastAsia" w:ascii="宋体" w:hAnsi="宋体" w:cs="宋体"/>
          <w:b w:val="0"/>
          <w:bCs w:val="0"/>
          <w:sz w:val="24"/>
          <w:szCs w:val="24"/>
          <w:u w:val="none"/>
          <w:lang w:val="en-US" w:eastAsia="zh-CN"/>
        </w:rPr>
        <w:t>要</w:t>
      </w:r>
      <w:r>
        <w:rPr>
          <w:rFonts w:hint="eastAsia" w:ascii="宋体" w:hAnsi="宋体" w:eastAsia="宋体" w:cs="宋体"/>
          <w:b w:val="0"/>
          <w:bCs w:val="0"/>
          <w:sz w:val="24"/>
          <w:szCs w:val="24"/>
          <w:u w:val="none"/>
          <w:lang w:val="en-US" w:eastAsia="zh-CN"/>
        </w:rPr>
        <w:t>扩大公民的政治权利</w:t>
      </w:r>
      <w:r>
        <w:rPr>
          <w:rFonts w:hint="eastAsia" w:ascii="宋体" w:hAnsi="宋体" w:cs="宋体"/>
          <w:b w:val="0"/>
          <w:bCs w:val="0"/>
          <w:sz w:val="24"/>
          <w:szCs w:val="24"/>
          <w:u w:val="none"/>
          <w:lang w:val="en-US" w:eastAsia="zh-CN"/>
        </w:rPr>
        <w:t>，让</w:t>
      </w:r>
      <w:r>
        <w:rPr>
          <w:rFonts w:hint="eastAsia" w:ascii="宋体" w:hAnsi="宋体" w:eastAsia="宋体" w:cs="宋体"/>
          <w:b w:val="0"/>
          <w:bCs w:val="0"/>
          <w:sz w:val="24"/>
          <w:szCs w:val="24"/>
          <w:u w:val="none"/>
          <w:lang w:val="en-US" w:eastAsia="zh-CN"/>
        </w:rPr>
        <w:t>人民直接管理国家事务。</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⑥学校发现未成年学生沉迷网络，时告知其父母，共同对其进行教育和引导，现了对未成年人的学校保护。</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⑦中国共产党坚持依法行政；公民增强法治观念，加大对违法犯罪行为的执法力度；</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⑧政府资助贫困生小明完成学业，说明小明享有物质帮助权。</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⑨人民代表大会是我国的最高国家权力机关，行使国家立法权</w:t>
      </w:r>
      <w:r>
        <w:rPr>
          <w:rFonts w:hint="eastAsia" w:ascii="宋体" w:hAnsi="宋体" w:cs="宋体"/>
          <w:b w:val="0"/>
          <w:bCs w:val="0"/>
          <w:sz w:val="24"/>
          <w:szCs w:val="24"/>
          <w:u w:val="none"/>
          <w:lang w:val="en-US" w:eastAsia="zh-CN"/>
        </w:rPr>
        <w:t>。</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⑩习近平法治思想是全面依法治国的根本遵循和行动指南</w:t>
      </w:r>
      <w:r>
        <w:rPr>
          <w:rFonts w:hint="eastAsia" w:ascii="宋体" w:hAnsi="宋体" w:cs="宋体"/>
          <w:b w:val="0"/>
          <w:bCs w:val="0"/>
          <w:sz w:val="24"/>
          <w:szCs w:val="24"/>
          <w:u w:val="none"/>
          <w:lang w:val="en-US" w:eastAsia="zh-CN"/>
        </w:rPr>
        <w:t>。</w:t>
      </w:r>
    </w:p>
    <w:p>
      <w:pPr>
        <w:numPr>
          <w:ilvl w:val="0"/>
          <w:numId w:val="0"/>
        </w:numPr>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宋体" w:hAnsi="宋体" w:eastAsia="宋体" w:cs="宋体"/>
          <w:b/>
          <w:bCs/>
          <w:sz w:val="24"/>
          <w:szCs w:val="24"/>
          <w:u w:val="none"/>
          <w:lang w:val="en-US" w:eastAsia="zh-CN"/>
        </w:rPr>
        <w:t>设计意图：</w:t>
      </w:r>
      <w:r>
        <w:rPr>
          <w:rFonts w:hint="eastAsia" w:ascii="宋体" w:hAnsi="宋体" w:eastAsia="宋体" w:cs="宋体"/>
          <w:b w:val="0"/>
          <w:bCs w:val="0"/>
          <w:sz w:val="24"/>
          <w:szCs w:val="24"/>
          <w:u w:val="none"/>
          <w:lang w:val="en-US" w:eastAsia="zh-CN"/>
        </w:rPr>
        <w:t>通过</w:t>
      </w:r>
      <w:r>
        <w:rPr>
          <w:rFonts w:hint="eastAsia" w:ascii="宋体" w:hAnsi="宋体" w:eastAsia="宋体" w:cs="宋体"/>
          <w:b w:val="0"/>
          <w:bCs w:val="0"/>
          <w:sz w:val="24"/>
          <w:szCs w:val="24"/>
          <w:lang w:val="en-US" w:eastAsia="zh-CN"/>
        </w:rPr>
        <w:t>串讲法治教育内容，</w:t>
      </w:r>
      <w:r>
        <w:rPr>
          <w:rFonts w:hint="eastAsia" w:ascii="宋体" w:hAnsi="宋体" w:eastAsia="宋体" w:cs="宋体"/>
          <w:b w:val="0"/>
          <w:bCs w:val="0"/>
          <w:sz w:val="24"/>
          <w:szCs w:val="24"/>
          <w:u w:val="none"/>
          <w:lang w:val="en-US" w:eastAsia="zh-CN"/>
        </w:rPr>
        <w:t>构建法治教育知识框架</w:t>
      </w:r>
      <w:r>
        <w:rPr>
          <w:rFonts w:hint="eastAsia" w:ascii="宋体" w:hAnsi="宋体" w:eastAsia="宋体" w:cs="宋体"/>
          <w:b w:val="0"/>
          <w:bCs w:val="0"/>
          <w:sz w:val="24"/>
          <w:szCs w:val="24"/>
          <w:lang w:val="en-US" w:eastAsia="zh-CN"/>
        </w:rPr>
        <w:t>，掌握学习内容</w:t>
      </w:r>
      <w:r>
        <w:rPr>
          <w:rFonts w:hint="eastAsia" w:ascii="宋体" w:hAnsi="宋体" w:cs="宋体"/>
          <w:b w:val="0"/>
          <w:bCs w:val="0"/>
          <w:sz w:val="24"/>
          <w:szCs w:val="24"/>
          <w:lang w:val="en-US" w:eastAsia="zh-CN"/>
        </w:rPr>
        <w:t>；再</w:t>
      </w:r>
      <w:r>
        <w:rPr>
          <w:rFonts w:hint="eastAsia" w:ascii="宋体" w:hAnsi="宋体" w:eastAsia="宋体" w:cs="宋体"/>
          <w:b w:val="0"/>
          <w:bCs w:val="0"/>
          <w:i w:val="0"/>
          <w:iCs w:val="0"/>
          <w:caps w:val="0"/>
          <w:color w:val="333333"/>
          <w:spacing w:val="0"/>
          <w:sz w:val="24"/>
          <w:szCs w:val="24"/>
          <w:shd w:val="clear" w:fill="FFFFFF"/>
          <w:lang w:val="en-US" w:eastAsia="zh-CN"/>
        </w:rPr>
        <w:t>通过易错易混点辨识，进一步巩固与提升学生的法治知识水平，提高客观题的得分率。</w:t>
      </w:r>
    </w:p>
    <w:p>
      <w:pPr>
        <w:rPr>
          <w:rFonts w:hint="eastAsia" w:ascii="宋体" w:hAnsi="宋体" w:eastAsia="宋体" w:cs="宋体"/>
          <w:b/>
          <w:bCs/>
          <w:i w:val="0"/>
          <w:iCs w:val="0"/>
          <w:caps w:val="0"/>
          <w:color w:val="333333"/>
          <w:spacing w:val="0"/>
          <w:sz w:val="24"/>
          <w:szCs w:val="24"/>
          <w:u w:val="single"/>
          <w:shd w:val="clear" w:fill="FFFFFF"/>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Theme="majorEastAsia" w:hAnsiTheme="majorEastAsia" w:eastAsiaTheme="majorEastAsia" w:cstheme="majorEastAsia"/>
          <w:b/>
          <w:bCs/>
          <w:sz w:val="24"/>
          <w:szCs w:val="24"/>
          <w:u w:val="none"/>
          <w:lang w:val="en-US" w:eastAsia="zh-CN"/>
        </w:rPr>
        <w:t>二、法眼看两会</w:t>
      </w:r>
      <w:r>
        <w:rPr>
          <w:rFonts w:hint="eastAsia" w:ascii="宋体" w:hAnsi="宋体" w:eastAsia="宋体" w:cs="宋体"/>
          <w:b w:val="0"/>
          <w:bCs w:val="0"/>
          <w:sz w:val="24"/>
          <w:szCs w:val="24"/>
          <w:lang w:val="en-US" w:eastAsia="zh-CN"/>
        </w:rPr>
        <w:t xml:space="preserve">     </w:t>
      </w:r>
    </w:p>
    <w:p>
      <w:pPr>
        <w:numPr>
          <w:ilvl w:val="0"/>
          <w:numId w:val="0"/>
        </w:num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引导</w:t>
      </w:r>
      <w:r>
        <w:rPr>
          <w:rFonts w:hint="eastAsia" w:ascii="宋体" w:hAnsi="宋体" w:eastAsia="宋体" w:cs="宋体"/>
          <w:b/>
          <w:bCs/>
          <w:sz w:val="24"/>
          <w:szCs w:val="24"/>
          <w:lang w:val="en-US" w:eastAsia="zh-CN"/>
        </w:rPr>
        <w:t>学生分析材料，结合法治教育内容解读材料</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材料</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w:t>
      </w:r>
      <w:r>
        <w:rPr>
          <w:rFonts w:hint="eastAsia" w:ascii="楷体" w:hAnsi="楷体" w:eastAsia="楷体" w:cs="楷体"/>
          <w:b w:val="0"/>
          <w:bCs w:val="0"/>
          <w:sz w:val="24"/>
          <w:szCs w:val="24"/>
          <w:lang w:val="en-US" w:eastAsia="zh-CN"/>
        </w:rPr>
        <w:t>十四届全国人大一次会议在人民大会堂举行第二次全体会议。最高人民法院院长周强向大会作报告时指出，安徽安庆的人民法庭用“六尺巷调解法”化解矛盾，让人民群众切实感受到公平正义就在身边。最高院将桐城市人民法院“六尺巷调解法”写进工作报告，是对其“谦和礼让、知进退、和为贵”调解法的高度肯定。</w:t>
      </w:r>
    </w:p>
    <w:p>
      <w:pPr>
        <w:numPr>
          <w:ilvl w:val="0"/>
          <w:numId w:val="0"/>
        </w:numPr>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法治教育</w:t>
      </w:r>
      <w:r>
        <w:rPr>
          <w:rFonts w:hint="eastAsia" w:ascii="宋体" w:hAnsi="宋体" w:eastAsia="宋体" w:cs="宋体"/>
          <w:b/>
          <w:bCs/>
          <w:sz w:val="24"/>
          <w:szCs w:val="24"/>
          <w:lang w:val="en-US" w:eastAsia="zh-CN"/>
        </w:rPr>
        <w:t>考点链接：</w:t>
      </w:r>
      <w:r>
        <w:rPr>
          <w:rFonts w:hint="eastAsia" w:ascii="宋体" w:hAnsi="宋体" w:eastAsia="宋体" w:cs="宋体"/>
          <w:b w:val="0"/>
          <w:bCs w:val="0"/>
          <w:sz w:val="24"/>
          <w:szCs w:val="24"/>
          <w:u w:val="single"/>
          <w:lang w:val="en-US" w:eastAsia="zh-CN"/>
        </w:rPr>
        <w:t>①宪法设置国家机构②法治的重要性等 ③坚持法治与德治相结合</w:t>
      </w:r>
      <w:r>
        <w:rPr>
          <w:rFonts w:hint="eastAsia" w:ascii="宋体" w:hAnsi="宋体" w:eastAsia="宋体" w:cs="宋体"/>
          <w:b w:val="0"/>
          <w:bCs w:val="0"/>
          <w:sz w:val="24"/>
          <w:szCs w:val="24"/>
          <w:lang w:val="en-US" w:eastAsia="zh-CN"/>
        </w:rPr>
        <w:t xml:space="preserve">   </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命题设计：最高院将“六尺巷调解法”写进工作报告说明了什么？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命题设计pro：从“凝聚法治共识”的角度，说说最高院将“六尺巷调解法”写进工作报告有何法治价值？</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材料</w:t>
      </w: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楷体" w:hAnsi="楷体" w:eastAsia="楷体" w:cs="楷体"/>
          <w:b w:val="0"/>
          <w:bCs w:val="0"/>
          <w:sz w:val="24"/>
          <w:szCs w:val="24"/>
          <w:lang w:val="en-US" w:eastAsia="zh-CN"/>
        </w:rPr>
        <w:t>国务院机构改革方案在十四届全国人大一次会议上表决通过。此次党和国家机构改革，目标是构建系统完备、科学规范、运行高效的党和国家机构职能体系。</w:t>
      </w:r>
    </w:p>
    <w:p>
      <w:pPr>
        <w:numPr>
          <w:ilvl w:val="0"/>
          <w:numId w:val="0"/>
        </w:numPr>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法治教育</w:t>
      </w:r>
      <w:r>
        <w:rPr>
          <w:rFonts w:hint="eastAsia" w:ascii="宋体" w:hAnsi="宋体" w:eastAsia="宋体" w:cs="宋体"/>
          <w:b/>
          <w:bCs/>
          <w:sz w:val="24"/>
          <w:szCs w:val="24"/>
          <w:lang w:val="en-US" w:eastAsia="zh-CN"/>
        </w:rPr>
        <w:t>考点链接：</w:t>
      </w:r>
      <w:r>
        <w:rPr>
          <w:rFonts w:hint="eastAsia" w:ascii="宋体" w:hAnsi="宋体" w:eastAsia="宋体" w:cs="宋体"/>
          <w:b w:val="0"/>
          <w:bCs w:val="0"/>
          <w:sz w:val="24"/>
          <w:szCs w:val="24"/>
          <w:u w:val="single"/>
          <w:lang w:val="en-US" w:eastAsia="zh-CN"/>
        </w:rPr>
        <w:t>①全国人民代表大会的职权②法治政府、依法行政</w:t>
      </w:r>
    </w:p>
    <w:p>
      <w:pPr>
        <w:numPr>
          <w:ilvl w:val="0"/>
          <w:numId w:val="0"/>
        </w:numPr>
        <w:rPr>
          <w:rFonts w:hint="eastAsia" w:ascii="楷体" w:hAnsi="楷体" w:eastAsia="楷体" w:cs="楷体"/>
          <w:b w:val="0"/>
          <w:bCs w:val="0"/>
          <w:sz w:val="24"/>
          <w:szCs w:val="24"/>
          <w:lang w:val="en-US" w:eastAsia="zh-CN"/>
        </w:rPr>
      </w:pPr>
      <w:r>
        <w:rPr>
          <w:rFonts w:hint="eastAsia" w:ascii="宋体" w:hAnsi="宋体" w:eastAsia="宋体" w:cs="宋体"/>
          <w:b/>
          <w:bCs/>
          <w:sz w:val="24"/>
          <w:szCs w:val="24"/>
          <w:lang w:val="en-US" w:eastAsia="zh-CN"/>
        </w:rPr>
        <w:t>材料</w:t>
      </w: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w:t>
      </w:r>
      <w:r>
        <w:rPr>
          <w:rFonts w:hint="eastAsia" w:ascii="楷体" w:hAnsi="楷体" w:eastAsia="楷体" w:cs="楷体"/>
          <w:b w:val="0"/>
          <w:bCs w:val="0"/>
          <w:sz w:val="24"/>
          <w:szCs w:val="24"/>
          <w:lang w:val="en-US" w:eastAsia="zh-CN"/>
        </w:rPr>
        <w:t>材料三：习近平总书记在十四届全国人大一次会议第三次全体会议上全票当选国家主席、中央军委主席，并进行宪法宣誓。誓词如下：</w:t>
      </w:r>
    </w:p>
    <w:p>
      <w:pPr>
        <w:numPr>
          <w:ilvl w:val="0"/>
          <w:numId w:val="0"/>
        </w:numPr>
        <w:rPr>
          <w:rFonts w:hint="eastAsia" w:ascii="宋体" w:hAnsi="宋体" w:eastAsia="宋体" w:cs="宋体"/>
          <w:b w:val="0"/>
          <w:bCs w:val="0"/>
          <w:sz w:val="24"/>
          <w:szCs w:val="24"/>
          <w:lang w:val="en-US" w:eastAsia="zh-CN"/>
        </w:rPr>
      </w:pPr>
      <w:r>
        <w:rPr>
          <w:rFonts w:hint="eastAsia" w:ascii="楷体" w:hAnsi="楷体" w:eastAsia="楷体" w:cs="楷体"/>
          <w:b w:val="0"/>
          <w:bCs w:val="0"/>
          <w:sz w:val="24"/>
          <w:szCs w:val="24"/>
          <w:lang w:val="en-US" w:eastAsia="zh-CN"/>
        </w:rPr>
        <w:t>“我宣誓：忠于中华人民共和国宪法，维护宪法权威，履行法定职责，忠于祖国、忠于人民，恪尽职守、廉洁奉公，接受人民监督，为建设富强民主文明和谐美丽的社会主义现代化强国努力奋斗！”</w:t>
      </w:r>
    </w:p>
    <w:p>
      <w:pPr>
        <w:numPr>
          <w:ilvl w:val="0"/>
          <w:numId w:val="0"/>
        </w:numPr>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法治教育</w:t>
      </w:r>
      <w:r>
        <w:rPr>
          <w:rFonts w:hint="eastAsia" w:ascii="宋体" w:hAnsi="宋体" w:eastAsia="宋体" w:cs="宋体"/>
          <w:b/>
          <w:bCs/>
          <w:sz w:val="24"/>
          <w:szCs w:val="24"/>
          <w:lang w:val="en-US" w:eastAsia="zh-CN"/>
        </w:rPr>
        <w:t>考点链接：</w:t>
      </w:r>
      <w:r>
        <w:rPr>
          <w:rFonts w:hint="eastAsia" w:ascii="宋体" w:hAnsi="宋体" w:eastAsia="宋体" w:cs="宋体"/>
          <w:b w:val="0"/>
          <w:bCs w:val="0"/>
          <w:sz w:val="24"/>
          <w:szCs w:val="24"/>
          <w:u w:val="single"/>
          <w:lang w:val="en-US" w:eastAsia="zh-CN"/>
        </w:rPr>
        <w:t>①任免权②选举权和被选举权③宪法宣誓制度④增强宪法意识⑤国家的一切权力属于人民。</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材料</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w:t>
      </w:r>
    </w:p>
    <w:p>
      <w:pPr>
        <w:numPr>
          <w:ilvl w:val="0"/>
          <w:numId w:val="0"/>
        </w:numPr>
        <w:rPr>
          <w:rFonts w:hint="eastAsia" w:ascii="宋体" w:hAnsi="宋体" w:eastAsia="宋体" w:cs="宋体"/>
          <w:b/>
          <w:bCs/>
          <w:sz w:val="24"/>
          <w:szCs w:val="24"/>
          <w:lang w:val="en-US" w:eastAsia="zh-CN"/>
        </w:rPr>
      </w:pPr>
      <w:r>
        <w:drawing>
          <wp:anchor distT="0" distB="0" distL="114300" distR="114300" simplePos="0" relativeHeight="251659264" behindDoc="0" locked="0" layoutInCell="1" allowOverlap="1">
            <wp:simplePos x="0" y="0"/>
            <wp:positionH relativeFrom="column">
              <wp:posOffset>-43815</wp:posOffset>
            </wp:positionH>
            <wp:positionV relativeFrom="paragraph">
              <wp:posOffset>137795</wp:posOffset>
            </wp:positionV>
            <wp:extent cx="4225925" cy="1842135"/>
            <wp:effectExtent l="0" t="0" r="10795" b="1905"/>
            <wp:wrapTopAndBottom/>
            <wp:docPr id="7" name="图片 2" descr="QQ浏览器截图2023031913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QQ浏览器截图20230319134752"/>
                    <pic:cNvPicPr>
                      <a:picLocks noChangeAspect="1"/>
                    </pic:cNvPicPr>
                  </pic:nvPicPr>
                  <pic:blipFill>
                    <a:blip r:embed="rId6"/>
                    <a:stretch>
                      <a:fillRect/>
                    </a:stretch>
                  </pic:blipFill>
                  <pic:spPr>
                    <a:xfrm>
                      <a:off x="0" y="0"/>
                      <a:ext cx="4225925" cy="1842135"/>
                    </a:xfrm>
                    <a:prstGeom prst="rect">
                      <a:avLst/>
                    </a:prstGeom>
                  </pic:spPr>
                </pic:pic>
              </a:graphicData>
            </a:graphic>
          </wp:anchor>
        </w:drawing>
      </w:r>
      <w:r>
        <w:rPr>
          <w:rFonts w:hint="eastAsia" w:ascii="宋体" w:hAnsi="宋体" w:cs="宋体"/>
          <w:b/>
          <w:bCs/>
          <w:sz w:val="24"/>
          <w:szCs w:val="24"/>
          <w:lang w:val="en-US" w:eastAsia="zh-CN"/>
        </w:rPr>
        <w:t>法治教育</w:t>
      </w:r>
      <w:r>
        <w:rPr>
          <w:rFonts w:hint="eastAsia" w:ascii="宋体" w:hAnsi="宋体" w:eastAsia="宋体" w:cs="宋体"/>
          <w:b/>
          <w:bCs/>
          <w:sz w:val="24"/>
          <w:szCs w:val="24"/>
          <w:lang w:val="en-US" w:eastAsia="zh-CN"/>
        </w:rPr>
        <w:t>考点链接：</w:t>
      </w:r>
    </w:p>
    <w:p>
      <w:pPr>
        <w:numPr>
          <w:ilvl w:val="0"/>
          <w:numId w:val="0"/>
        </w:numP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①立法权②中华人民共和国主席是中华人民共和国的国家代表，也是国家机构之一。职权有公布法律、发布命令；任免权；外事权；授予荣誉权</w:t>
      </w:r>
      <w:r>
        <w:rPr>
          <w:rFonts w:hint="eastAsia" w:ascii="宋体" w:hAnsi="宋体" w:eastAsia="宋体" w:cs="宋体"/>
          <w:b w:val="0"/>
          <w:bCs w:val="0"/>
          <w:sz w:val="24"/>
          <w:szCs w:val="24"/>
          <w:lang w:val="en-US" w:eastAsia="zh-CN"/>
        </w:rPr>
        <w:t xml:space="preserve"> </w:t>
      </w:r>
    </w:p>
    <w:p>
      <w:pPr>
        <w:numPr>
          <w:ilvl w:val="0"/>
          <w:numId w:val="0"/>
        </w:numPr>
        <w:rPr>
          <w:rFonts w:hint="eastAsia" w:ascii="宋体" w:hAnsi="宋体" w:cs="宋体"/>
          <w:b w:val="0"/>
          <w:bCs w:val="0"/>
          <w:sz w:val="24"/>
          <w:szCs w:val="24"/>
          <w:u w:val="none"/>
          <w:lang w:val="en-US" w:eastAsia="zh-CN"/>
        </w:rPr>
      </w:pPr>
      <w:r>
        <w:rPr>
          <w:rFonts w:hint="eastAsia" w:ascii="宋体" w:hAnsi="宋体" w:eastAsia="宋体" w:cs="宋体"/>
          <w:b/>
          <w:bCs/>
          <w:sz w:val="24"/>
          <w:szCs w:val="24"/>
          <w:u w:val="none"/>
          <w:lang w:val="en-US" w:eastAsia="zh-CN"/>
        </w:rPr>
        <w:t>设计意图：</w:t>
      </w:r>
      <w:r>
        <w:rPr>
          <w:rFonts w:hint="eastAsia" w:ascii="宋体" w:hAnsi="宋体" w:eastAsia="宋体" w:cs="宋体"/>
          <w:b w:val="0"/>
          <w:bCs w:val="0"/>
          <w:i w:val="0"/>
          <w:iCs w:val="0"/>
          <w:caps w:val="0"/>
          <w:color w:val="333333"/>
          <w:spacing w:val="0"/>
          <w:sz w:val="24"/>
          <w:szCs w:val="24"/>
          <w:shd w:val="clear" w:fill="FFFFFF"/>
          <w:lang w:val="en-US" w:eastAsia="zh-CN"/>
        </w:rPr>
        <w:t>通过法眼看两会环节，了解两会热点素材，通过法治视角解读热点素材，在解决问题中提高学生的政治认同和法治素养</w:t>
      </w:r>
      <w:r>
        <w:rPr>
          <w:rFonts w:hint="eastAsia" w:ascii="宋体" w:hAnsi="宋体" w:cs="宋体"/>
          <w:b w:val="0"/>
          <w:bCs w:val="0"/>
          <w:sz w:val="24"/>
          <w:szCs w:val="24"/>
          <w:u w:val="none"/>
          <w:lang w:val="en-US" w:eastAsia="zh-CN"/>
        </w:rPr>
        <w:t>。</w:t>
      </w:r>
    </w:p>
    <w:p>
      <w:pPr>
        <w:numPr>
          <w:ilvl w:val="0"/>
          <w:numId w:val="0"/>
        </w:numPr>
        <w:rPr>
          <w:rFonts w:hint="eastAsia" w:ascii="宋体" w:hAnsi="宋体" w:cs="宋体"/>
          <w:b w:val="0"/>
          <w:bCs w:val="0"/>
          <w:sz w:val="24"/>
          <w:szCs w:val="24"/>
          <w:u w:val="none"/>
          <w:lang w:val="en-US" w:eastAsia="zh-CN"/>
        </w:rPr>
      </w:pPr>
    </w:p>
    <w:p>
      <w:pPr>
        <w:rPr>
          <w:rFonts w:hint="eastAsia" w:asciiTheme="majorEastAsia" w:hAnsiTheme="majorEastAsia" w:eastAsiaTheme="majorEastAsia" w:cstheme="majorEastAsia"/>
          <w:b/>
          <w:bCs/>
          <w:sz w:val="24"/>
          <w:szCs w:val="24"/>
          <w:u w:val="none"/>
          <w:lang w:val="en-US" w:eastAsia="zh-CN"/>
        </w:rPr>
      </w:pPr>
      <w:r>
        <w:rPr>
          <w:rFonts w:hint="eastAsia" w:asciiTheme="majorEastAsia" w:hAnsiTheme="majorEastAsia" w:eastAsiaTheme="majorEastAsia" w:cstheme="majorEastAsia"/>
          <w:b/>
          <w:bCs/>
          <w:sz w:val="24"/>
          <w:szCs w:val="24"/>
          <w:u w:val="none"/>
          <w:lang w:val="en-US" w:eastAsia="zh-CN"/>
        </w:rPr>
        <w:t>三、解题指导</w:t>
      </w:r>
    </w:p>
    <w:p>
      <w:pPr>
        <w:numPr>
          <w:ilvl w:val="0"/>
          <w:numId w:val="0"/>
        </w:numP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1.中考第15题</w:t>
      </w:r>
      <w:r>
        <w:rPr>
          <w:rFonts w:hint="eastAsia" w:ascii="宋体" w:hAnsi="宋体" w:cs="宋体"/>
          <w:b/>
          <w:bCs/>
          <w:sz w:val="24"/>
          <w:szCs w:val="24"/>
          <w:u w:val="none"/>
          <w:lang w:val="en-US" w:eastAsia="zh-CN"/>
        </w:rPr>
        <w:t>法治案例</w:t>
      </w:r>
      <w:r>
        <w:rPr>
          <w:rFonts w:hint="eastAsia" w:ascii="宋体" w:hAnsi="宋体" w:eastAsia="宋体" w:cs="宋体"/>
          <w:b/>
          <w:bCs/>
          <w:sz w:val="24"/>
          <w:szCs w:val="24"/>
          <w:u w:val="none"/>
          <w:lang w:val="en-US" w:eastAsia="zh-CN"/>
        </w:rPr>
        <w:t>探究命题分析</w:t>
      </w:r>
    </w:p>
    <w:tbl>
      <w:tblPr>
        <w:tblStyle w:val="5"/>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93"/>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blCellSpacing w:w="0" w:type="dxa"/>
        </w:trPr>
        <w:tc>
          <w:tcPr>
            <w:tcW w:w="1793" w:type="dxa"/>
            <w:shd w:val="clear" w:color="auto" w:fill="auto"/>
            <w:tcMar>
              <w:top w:w="210" w:type="dxa"/>
              <w:left w:w="340" w:type="dxa"/>
              <w:bottom w:w="210" w:type="dxa"/>
              <w:right w:w="340" w:type="dxa"/>
            </w:tcMar>
            <w:vAlign w:val="center"/>
          </w:tcPr>
          <w:p>
            <w:pPr>
              <w:pStyle w:val="4"/>
              <w:keepNext w:val="0"/>
              <w:keepLines w:val="0"/>
              <w:widowControl/>
              <w:suppressLineNumbers w:val="0"/>
              <w:jc w:val="both"/>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选材</w:t>
            </w:r>
          </w:p>
        </w:tc>
        <w:tc>
          <w:tcPr>
            <w:tcW w:w="7193" w:type="dxa"/>
            <w:shd w:val="clear" w:color="auto" w:fill="auto"/>
            <w:tcMar>
              <w:top w:w="210" w:type="dxa"/>
              <w:left w:w="340" w:type="dxa"/>
              <w:bottom w:w="210" w:type="dxa"/>
              <w:right w:w="34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常以热点渗透学生生活情境多角度选材，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6" w:hRule="atLeast"/>
          <w:tblCellSpacing w:w="0" w:type="dxa"/>
        </w:trPr>
        <w:tc>
          <w:tcPr>
            <w:tcW w:w="1793" w:type="dxa"/>
            <w:shd w:val="clear" w:color="auto" w:fill="auto"/>
            <w:tcMar>
              <w:top w:w="210" w:type="dxa"/>
              <w:left w:w="340" w:type="dxa"/>
              <w:bottom w:w="210" w:type="dxa"/>
              <w:right w:w="340" w:type="dxa"/>
            </w:tcMar>
            <w:vAlign w:val="center"/>
          </w:tcPr>
          <w:p>
            <w:pPr>
              <w:pStyle w:val="4"/>
              <w:keepNext w:val="0"/>
              <w:keepLines w:val="0"/>
              <w:widowControl/>
              <w:suppressLineNumbers w:val="0"/>
              <w:jc w:val="both"/>
              <w:rPr>
                <w:rFonts w:hint="eastAsia" w:ascii="宋体" w:hAnsi="宋体" w:eastAsia="宋体" w:cs="宋体"/>
                <w:b w:val="0"/>
                <w:bCs w:val="0"/>
                <w:sz w:val="24"/>
                <w:szCs w:val="24"/>
                <w:lang w:eastAsia="zh-CN"/>
              </w:rPr>
            </w:pPr>
            <w:r>
              <w:rPr>
                <w:rFonts w:hint="eastAsia" w:ascii="宋体" w:hAnsi="宋体" w:cs="宋体"/>
                <w:b w:val="0"/>
                <w:bCs w:val="0"/>
                <w:color w:val="404040"/>
                <w:sz w:val="24"/>
                <w:szCs w:val="24"/>
                <w:lang w:val="en-US" w:eastAsia="zh-CN"/>
              </w:rPr>
              <w:t>设问类型</w:t>
            </w:r>
          </w:p>
        </w:tc>
        <w:tc>
          <w:tcPr>
            <w:tcW w:w="7193" w:type="dxa"/>
            <w:shd w:val="clear" w:color="auto" w:fill="auto"/>
            <w:tcMar>
              <w:top w:w="210" w:type="dxa"/>
              <w:left w:w="340" w:type="dxa"/>
              <w:bottom w:w="210" w:type="dxa"/>
              <w:right w:w="34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第(1)问多考查是什么</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也涉及说明类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第(2)问多考查做法、原因类设问，也涉及意义类，知识点的考查侧重法律，近三年均考查</w:t>
            </w:r>
            <w:r>
              <w:rPr>
                <w:rFonts w:hint="eastAsia" w:ascii="宋体" w:hAnsi="宋体" w:cs="宋体"/>
                <w:b w:val="0"/>
                <w:bCs w:val="0"/>
                <w:color w:val="000000"/>
                <w:sz w:val="24"/>
                <w:szCs w:val="24"/>
                <w:lang w:val="en-US" w:eastAsia="zh-CN"/>
              </w:rPr>
              <w:t>法治教育</w:t>
            </w:r>
            <w:r>
              <w:rPr>
                <w:rFonts w:hint="eastAsia" w:ascii="宋体" w:hAnsi="宋体" w:eastAsia="宋体" w:cs="宋体"/>
                <w:b w:val="0"/>
                <w:bCs w:val="0"/>
                <w:color w:val="000000"/>
                <w:sz w:val="24"/>
                <w:szCs w:val="24"/>
              </w:rPr>
              <w:t>的知识。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第（3）问常见警示、启发、思考类</w:t>
            </w:r>
          </w:p>
        </w:tc>
      </w:tr>
    </w:tbl>
    <w:p>
      <w:pPr>
        <w:numPr>
          <w:ilvl w:val="0"/>
          <w:numId w:val="0"/>
        </w:numPr>
        <w:rPr>
          <w:rFonts w:hint="eastAsia" w:ascii="宋体" w:hAnsi="宋体" w:eastAsia="宋体" w:cs="宋体"/>
          <w:b w:val="0"/>
          <w:bCs w:val="0"/>
          <w:sz w:val="24"/>
          <w:szCs w:val="24"/>
          <w:u w:val="none"/>
          <w:lang w:val="en-US" w:eastAsia="zh-CN"/>
        </w:rPr>
      </w:pPr>
    </w:p>
    <w:p>
      <w:pPr>
        <w:numPr>
          <w:ilvl w:val="0"/>
          <w:numId w:val="0"/>
        </w:numP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2.真题再现，易错点拨，总结失分原因和解题策略</w:t>
      </w:r>
      <w:r>
        <w:rPr>
          <w:rFonts w:hint="eastAsia" w:ascii="宋体" w:hAnsi="宋体" w:cs="宋体"/>
          <w:b/>
          <w:bCs/>
          <w:sz w:val="24"/>
          <w:szCs w:val="24"/>
          <w:u w:val="none"/>
          <w:lang w:val="en-US" w:eastAsia="zh-CN"/>
        </w:rPr>
        <w:t>（真题略）</w:t>
      </w:r>
    </w:p>
    <w:tbl>
      <w:tblPr>
        <w:tblStyle w:val="5"/>
        <w:tblW w:w="4999" w:type="pct"/>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78"/>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68" w:hRule="atLeast"/>
          <w:tblCellSpacing w:w="0" w:type="dxa"/>
        </w:trPr>
        <w:tc>
          <w:tcPr>
            <w:tcW w:w="1098" w:type="pct"/>
            <w:shd w:val="clear" w:color="auto" w:fill="auto"/>
            <w:tcMar>
              <w:top w:w="210" w:type="dxa"/>
              <w:left w:w="340" w:type="dxa"/>
              <w:bottom w:w="210" w:type="dxa"/>
              <w:right w:w="340" w:type="dxa"/>
            </w:tcMar>
            <w:vAlign w:val="center"/>
          </w:tcPr>
          <w:p>
            <w:pPr>
              <w:pStyle w:val="4"/>
              <w:keepNext w:val="0"/>
              <w:keepLines w:val="0"/>
              <w:widowControl/>
              <w:suppressLineNumbers w:val="0"/>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color w:val="404040"/>
                <w:sz w:val="24"/>
                <w:szCs w:val="24"/>
                <w:lang w:val="en-US" w:eastAsia="zh-CN"/>
              </w:rPr>
              <w:t>失分</w:t>
            </w:r>
            <w:r>
              <w:rPr>
                <w:rFonts w:hint="eastAsia" w:ascii="宋体" w:hAnsi="宋体" w:eastAsia="宋体" w:cs="宋体"/>
                <w:b w:val="0"/>
                <w:bCs w:val="0"/>
                <w:color w:val="404040"/>
                <w:sz w:val="24"/>
                <w:szCs w:val="24"/>
              </w:rPr>
              <w:t>原因</w:t>
            </w:r>
          </w:p>
        </w:tc>
        <w:tc>
          <w:tcPr>
            <w:tcW w:w="3901" w:type="pct"/>
            <w:shd w:val="clear" w:color="auto" w:fill="auto"/>
            <w:tcMar>
              <w:top w:w="210" w:type="dxa"/>
              <w:left w:w="340" w:type="dxa"/>
              <w:bottom w:w="210" w:type="dxa"/>
              <w:right w:w="340" w:type="dxa"/>
            </w:tcMar>
            <w:vAlign w:val="center"/>
          </w:tcPr>
          <w:p>
            <w:pPr>
              <w:pStyle w:val="4"/>
              <w:keepNext w:val="0"/>
              <w:keepLines w:val="0"/>
              <w:widowControl/>
              <w:numPr>
                <w:ilvl w:val="0"/>
                <w:numId w:val="1"/>
              </w:numPr>
              <w:suppressLineNumbers w:val="0"/>
              <w:spacing w:line="240" w:lineRule="auto"/>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对人物言行产生错误理解，造成混淆。</w:t>
            </w:r>
          </w:p>
          <w:p>
            <w:pPr>
              <w:pStyle w:val="4"/>
              <w:keepNext w:val="0"/>
              <w:keepLines w:val="0"/>
              <w:widowControl/>
              <w:numPr>
                <w:ilvl w:val="0"/>
                <w:numId w:val="1"/>
              </w:numPr>
              <w:suppressLineNumbers w:val="0"/>
              <w:spacing w:line="240" w:lineRule="auto"/>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没有回归教材导致表述不够精准或太过口语化。</w:t>
            </w:r>
          </w:p>
          <w:p>
            <w:pPr>
              <w:pStyle w:val="4"/>
              <w:keepNext w:val="0"/>
              <w:keepLines w:val="0"/>
              <w:widowControl/>
              <w:numPr>
                <w:ilvl w:val="0"/>
                <w:numId w:val="1"/>
              </w:numPr>
              <w:suppressLineNumbers w:val="0"/>
              <w:spacing w:line="240" w:lineRule="auto"/>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对易混知识点的辨识点不熟悉，区分容易出错。</w:t>
            </w:r>
          </w:p>
          <w:p>
            <w:pPr>
              <w:pStyle w:val="4"/>
              <w:keepNext w:val="0"/>
              <w:keepLines w:val="0"/>
              <w:widowControl/>
              <w:numPr>
                <w:ilvl w:val="0"/>
                <w:numId w:val="1"/>
              </w:numPr>
              <w:suppressLineNumbers w:val="0"/>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不能准确提取情境中的有效信息，导致答案偏离情境</w:t>
            </w:r>
          </w:p>
        </w:tc>
      </w:tr>
    </w:tbl>
    <w:p>
      <w:pPr>
        <w:numPr>
          <w:ilvl w:val="0"/>
          <w:numId w:val="0"/>
        </w:numPr>
        <w:rPr>
          <w:rFonts w:hint="eastAsia" w:ascii="宋体" w:hAnsi="宋体" w:eastAsia="宋体" w:cs="宋体"/>
          <w:b w:val="0"/>
          <w:bCs w:val="0"/>
          <w:sz w:val="24"/>
          <w:szCs w:val="24"/>
          <w:u w:val="none"/>
          <w:lang w:val="en-US" w:eastAsia="zh-CN"/>
        </w:rPr>
      </w:pPr>
    </w:p>
    <w:p>
      <w:pPr>
        <w:numPr>
          <w:ilvl w:val="0"/>
          <w:numId w:val="0"/>
        </w:numP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3.模拟演练</w:t>
      </w:r>
    </w:p>
    <w:p>
      <w:pPr>
        <w:numPr>
          <w:ilvl w:val="0"/>
          <w:numId w:val="0"/>
        </w:numPr>
        <w:rPr>
          <w:rFonts w:hint="eastAsia" w:ascii="宋体" w:hAnsi="宋体" w:cs="宋体"/>
          <w:b w:val="0"/>
          <w:bCs w:val="0"/>
          <w:i w:val="0"/>
          <w:iCs w:val="0"/>
          <w:caps w:val="0"/>
          <w:color w:val="333333"/>
          <w:spacing w:val="0"/>
          <w:sz w:val="24"/>
          <w:szCs w:val="24"/>
          <w:shd w:val="clear" w:fill="FFFFFF"/>
          <w:lang w:val="en-US" w:eastAsia="zh-CN"/>
        </w:rPr>
      </w:pPr>
      <w:r>
        <w:rPr>
          <w:rFonts w:hint="eastAsia" w:ascii="宋体" w:hAnsi="宋体" w:eastAsia="宋体" w:cs="宋体"/>
          <w:b/>
          <w:bCs/>
          <w:sz w:val="24"/>
          <w:szCs w:val="24"/>
          <w:u w:val="none"/>
          <w:lang w:val="en-US" w:eastAsia="zh-CN"/>
        </w:rPr>
        <w:t>设计意图：</w:t>
      </w:r>
      <w:r>
        <w:rPr>
          <w:rFonts w:hint="eastAsia" w:ascii="宋体" w:hAnsi="宋体" w:eastAsia="宋体" w:cs="宋体"/>
          <w:b w:val="0"/>
          <w:bCs w:val="0"/>
          <w:i w:val="0"/>
          <w:iCs w:val="0"/>
          <w:caps w:val="0"/>
          <w:color w:val="333333"/>
          <w:spacing w:val="0"/>
          <w:sz w:val="24"/>
          <w:szCs w:val="24"/>
          <w:shd w:val="clear" w:fill="FFFFFF"/>
          <w:lang w:val="en-US" w:eastAsia="zh-CN"/>
        </w:rPr>
        <w:t>解题指导环节，通过真题再现，在解决问题中总结失分原因，</w:t>
      </w:r>
      <w:r>
        <w:rPr>
          <w:rFonts w:hint="eastAsia" w:ascii="宋体" w:hAnsi="宋体" w:cs="宋体"/>
          <w:b w:val="0"/>
          <w:bCs w:val="0"/>
          <w:i w:val="0"/>
          <w:iCs w:val="0"/>
          <w:caps w:val="0"/>
          <w:color w:val="333333"/>
          <w:spacing w:val="0"/>
          <w:sz w:val="24"/>
          <w:szCs w:val="24"/>
          <w:shd w:val="clear" w:fill="FFFFFF"/>
          <w:lang w:val="en-US" w:eastAsia="zh-CN"/>
        </w:rPr>
        <w:t>最后通过模拟演练学以致用，</w:t>
      </w:r>
      <w:r>
        <w:rPr>
          <w:rFonts w:hint="eastAsia" w:ascii="宋体" w:hAnsi="宋体" w:eastAsia="宋体" w:cs="宋体"/>
          <w:b w:val="0"/>
          <w:bCs w:val="0"/>
          <w:i w:val="0"/>
          <w:iCs w:val="0"/>
          <w:caps w:val="0"/>
          <w:color w:val="333333"/>
          <w:spacing w:val="0"/>
          <w:sz w:val="24"/>
          <w:szCs w:val="24"/>
          <w:shd w:val="clear" w:fill="FFFFFF"/>
          <w:lang w:val="en-US" w:eastAsia="zh-CN"/>
        </w:rPr>
        <w:t>提高学生的解题能力</w:t>
      </w:r>
      <w:r>
        <w:rPr>
          <w:rFonts w:hint="eastAsia" w:ascii="宋体" w:hAnsi="宋体" w:cs="宋体"/>
          <w:b w:val="0"/>
          <w:bCs w:val="0"/>
          <w:i w:val="0"/>
          <w:iCs w:val="0"/>
          <w:caps w:val="0"/>
          <w:color w:val="333333"/>
          <w:spacing w:val="0"/>
          <w:sz w:val="24"/>
          <w:szCs w:val="24"/>
          <w:shd w:val="clear" w:fill="FFFFFF"/>
          <w:lang w:val="en-US" w:eastAsia="zh-CN"/>
        </w:rPr>
        <w:t>。</w:t>
      </w:r>
    </w:p>
    <w:p>
      <w:pPr>
        <w:numPr>
          <w:ilvl w:val="0"/>
          <w:numId w:val="0"/>
        </w:numPr>
        <w:rPr>
          <w:rFonts w:hint="eastAsia" w:ascii="宋体" w:hAnsi="宋体" w:cs="宋体"/>
          <w:b/>
          <w:bCs/>
          <w:i w:val="0"/>
          <w:iCs w:val="0"/>
          <w:caps w:val="0"/>
          <w:color w:val="333333"/>
          <w:spacing w:val="0"/>
          <w:sz w:val="24"/>
          <w:szCs w:val="24"/>
          <w:shd w:val="clear" w:fill="FFFFFF"/>
          <w:lang w:val="en-US" w:eastAsia="zh-CN"/>
        </w:rPr>
      </w:pPr>
    </w:p>
    <w:p>
      <w:pPr>
        <w:numPr>
          <w:ilvl w:val="0"/>
          <w:numId w:val="0"/>
        </w:numPr>
        <w:rPr>
          <w:rFonts w:hint="eastAsia" w:ascii="宋体" w:hAnsi="宋体" w:cs="宋体"/>
          <w:b/>
          <w:bCs/>
          <w:i w:val="0"/>
          <w:iCs w:val="0"/>
          <w:caps w:val="0"/>
          <w:color w:val="333333"/>
          <w:spacing w:val="0"/>
          <w:sz w:val="24"/>
          <w:szCs w:val="24"/>
          <w:shd w:val="clear" w:fill="FFFFFF"/>
          <w:lang w:val="en-US" w:eastAsia="zh-CN"/>
        </w:rPr>
      </w:pPr>
      <w:r>
        <w:rPr>
          <w:rFonts w:hint="eastAsia" w:ascii="宋体" w:hAnsi="宋体" w:cs="宋体"/>
          <w:b/>
          <w:bCs/>
          <w:i w:val="0"/>
          <w:iCs w:val="0"/>
          <w:caps w:val="0"/>
          <w:color w:val="333333"/>
          <w:spacing w:val="0"/>
          <w:sz w:val="24"/>
          <w:szCs w:val="24"/>
          <w:shd w:val="clear" w:fill="FFFFFF"/>
          <w:lang w:val="en-US" w:eastAsia="zh-CN"/>
        </w:rPr>
        <w:t>【作业设计】</w:t>
      </w:r>
    </w:p>
    <w:p>
      <w:pPr>
        <w:numPr>
          <w:ilvl w:val="0"/>
          <w:numId w:val="0"/>
        </w:numPr>
        <w:rPr>
          <w:rFonts w:hint="default" w:ascii="宋体" w:hAnsi="宋体" w:cs="宋体"/>
          <w:b w:val="0"/>
          <w:bCs w:val="0"/>
          <w:i w:val="0"/>
          <w:iCs w:val="0"/>
          <w:caps w:val="0"/>
          <w:color w:val="333333"/>
          <w:spacing w:val="0"/>
          <w:sz w:val="24"/>
          <w:szCs w:val="24"/>
          <w:shd w:val="clear" w:fill="FFFFFF"/>
          <w:lang w:val="en-US" w:eastAsia="zh-CN"/>
        </w:rPr>
      </w:pPr>
      <w:r>
        <w:rPr>
          <w:rFonts w:hint="eastAsia" w:ascii="宋体" w:hAnsi="宋体" w:cs="宋体"/>
          <w:b w:val="0"/>
          <w:bCs w:val="0"/>
          <w:i w:val="0"/>
          <w:iCs w:val="0"/>
          <w:caps w:val="0"/>
          <w:color w:val="333333"/>
          <w:spacing w:val="0"/>
          <w:sz w:val="24"/>
          <w:szCs w:val="24"/>
          <w:shd w:val="clear" w:fill="FFFFFF"/>
          <w:lang w:val="en-US" w:eastAsia="zh-CN"/>
        </w:rPr>
        <w:t>完成《面对面》法治案例探究题针对训练</w:t>
      </w:r>
    </w:p>
    <w:p>
      <w:pPr>
        <w:numPr>
          <w:ilvl w:val="0"/>
          <w:numId w:val="0"/>
        </w:numPr>
        <w:rPr>
          <w:rFonts w:hint="eastAsia" w:ascii="宋体" w:hAnsi="宋体" w:cs="宋体"/>
          <w:b/>
          <w:bCs/>
          <w:i w:val="0"/>
          <w:iCs w:val="0"/>
          <w:caps w:val="0"/>
          <w:color w:val="333333"/>
          <w:spacing w:val="0"/>
          <w:sz w:val="24"/>
          <w:szCs w:val="24"/>
          <w:shd w:val="clear" w:fill="FFFFFF"/>
          <w:lang w:val="en-US" w:eastAsia="zh-CN"/>
        </w:rPr>
      </w:pPr>
    </w:p>
    <w:p>
      <w:pPr>
        <w:numPr>
          <w:ilvl w:val="0"/>
          <w:numId w:val="0"/>
        </w:numPr>
        <w:rPr>
          <w:rFonts w:hint="eastAsia" w:ascii="宋体" w:hAnsi="宋体" w:cs="宋体"/>
          <w:b/>
          <w:bCs/>
          <w:i w:val="0"/>
          <w:iCs w:val="0"/>
          <w:caps w:val="0"/>
          <w:color w:val="333333"/>
          <w:spacing w:val="0"/>
          <w:sz w:val="24"/>
          <w:szCs w:val="24"/>
          <w:shd w:val="clear" w:fill="FFFFFF"/>
          <w:lang w:val="en-US" w:eastAsia="zh-CN"/>
        </w:rPr>
      </w:pPr>
      <w:r>
        <w:rPr>
          <w:rFonts w:hint="eastAsia" w:ascii="宋体" w:hAnsi="宋体" w:cs="宋体"/>
          <w:b/>
          <w:bCs/>
          <w:i w:val="0"/>
          <w:iCs w:val="0"/>
          <w:caps w:val="0"/>
          <w:color w:val="333333"/>
          <w:spacing w:val="0"/>
          <w:sz w:val="24"/>
          <w:szCs w:val="24"/>
          <w:shd w:val="clear" w:fill="FFFFFF"/>
          <w:lang w:val="en-US" w:eastAsia="zh-CN"/>
        </w:rPr>
        <w:t>【板书设计】</w:t>
      </w:r>
    </w:p>
    <w:p>
      <w:pPr>
        <w:numPr>
          <w:ilvl w:val="0"/>
          <w:numId w:val="0"/>
        </w:numPr>
        <w:rPr>
          <w:rFonts w:hint="eastAsia" w:ascii="宋体" w:hAnsi="宋体" w:cs="宋体"/>
          <w:b/>
          <w:bCs/>
          <w:i w:val="0"/>
          <w:iCs w:val="0"/>
          <w:caps w:val="0"/>
          <w:color w:val="333333"/>
          <w:spacing w:val="0"/>
          <w:sz w:val="24"/>
          <w:szCs w:val="24"/>
          <w:shd w:val="clear" w:fill="FFFFFF"/>
          <w:lang w:val="en-US" w:eastAsia="zh-CN"/>
        </w:rPr>
      </w:pPr>
      <w:r>
        <w:rPr>
          <w:rFonts w:hint="eastAsia" w:ascii="宋体" w:hAnsi="宋体" w:eastAsia="宋体" w:cs="宋体"/>
          <w:b w:val="0"/>
          <w:bCs w:val="0"/>
          <w:sz w:val="24"/>
          <w:szCs w:val="24"/>
        </w:rPr>
        <w:drawing>
          <wp:inline distT="0" distB="0" distL="114300" distR="114300">
            <wp:extent cx="5142230" cy="2185670"/>
            <wp:effectExtent l="0" t="0" r="8890" b="8890"/>
            <wp:docPr id="4" name="图片 -2147481976" descr="C:\Documents and Settings\Administrator\桌面\安徽道法发B\安徽道法发B\SP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47481976" descr="C:\Documents and Settings\Administrator\桌面\安徽道法发B\安徽道法发B\SP94.tif"/>
                    <pic:cNvPicPr>
                      <a:picLocks noChangeAspect="1"/>
                    </pic:cNvPicPr>
                  </pic:nvPicPr>
                  <pic:blipFill>
                    <a:blip r:embed="rId7"/>
                    <a:stretch>
                      <a:fillRect/>
                    </a:stretch>
                  </pic:blipFill>
                  <pic:spPr>
                    <a:xfrm>
                      <a:off x="0" y="0"/>
                      <a:ext cx="5142230" cy="2185670"/>
                    </a:xfrm>
                    <a:prstGeom prst="rect">
                      <a:avLst/>
                    </a:prstGeom>
                    <a:noFill/>
                    <a:ln w="9525">
                      <a:noFill/>
                    </a:ln>
                  </pic:spPr>
                </pic:pic>
              </a:graphicData>
            </a:graphic>
          </wp:inline>
        </w:drawing>
      </w:r>
    </w:p>
    <w:p>
      <w:pPr>
        <w:numPr>
          <w:ilvl w:val="0"/>
          <w:numId w:val="0"/>
        </w:numPr>
        <w:rPr>
          <w:rFonts w:hint="default" w:ascii="宋体" w:hAnsi="宋体" w:eastAsia="宋体" w:cs="宋体"/>
          <w:b w:val="0"/>
          <w:bCs w:val="0"/>
          <w:sz w:val="24"/>
          <w:szCs w:val="24"/>
          <w:u w:val="none"/>
          <w:lang w:val="en-US" w:eastAsia="zh-CN"/>
        </w:rPr>
      </w:pPr>
    </w:p>
    <w:p>
      <w:pPr>
        <w:numPr>
          <w:ilvl w:val="0"/>
          <w:numId w:val="0"/>
        </w:numP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w:t>
      </w:r>
      <w:r>
        <w:rPr>
          <w:rFonts w:hint="eastAsia" w:ascii="宋体" w:hAnsi="宋体" w:cs="宋体"/>
          <w:b/>
          <w:bCs/>
          <w:sz w:val="24"/>
          <w:szCs w:val="24"/>
          <w:u w:val="none"/>
          <w:lang w:val="en-US" w:eastAsia="zh-CN"/>
        </w:rPr>
        <w:t>教学反思</w:t>
      </w:r>
      <w:r>
        <w:rPr>
          <w:rFonts w:hint="eastAsia" w:ascii="宋体" w:hAnsi="宋体" w:eastAsia="宋体" w:cs="宋体"/>
          <w:b/>
          <w:bCs/>
          <w:sz w:val="24"/>
          <w:szCs w:val="24"/>
          <w:u w:val="none"/>
          <w:lang w:val="en-US" w:eastAsia="zh-CN"/>
        </w:rPr>
        <w:t>】</w:t>
      </w:r>
    </w:p>
    <w:p>
      <w:pPr>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依据2022版课程标准，法治教育专题的内容涉及面广、容量大。本节课设计重点在于帮助学生构建知识体系，在增强政治认同和法治素养的同时提高应试能力。考虑到要把学生学习考试中存在的问题具体化，就要强调具有共性的问题，不能面面俱到，因此，对该专题的教学还要继续深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eastAsia="宋体"/>
        <w:b w:val="0"/>
        <w:bCs w:val="0"/>
        <w:sz w:val="15"/>
        <w:szCs w:val="15"/>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6F794"/>
    <w:multiLevelType w:val="singleLevel"/>
    <w:tmpl w:val="CA86F79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B3D0627"/>
    <w:rsid w:val="03950773"/>
    <w:rsid w:val="0B3D0627"/>
    <w:rsid w:val="0D3F5489"/>
    <w:rsid w:val="162C583A"/>
    <w:rsid w:val="23C92098"/>
    <w:rsid w:val="2564005E"/>
    <w:rsid w:val="25C60ECD"/>
    <w:rsid w:val="2995131B"/>
    <w:rsid w:val="30202461"/>
    <w:rsid w:val="33714777"/>
    <w:rsid w:val="34E645EB"/>
    <w:rsid w:val="4E0D73AF"/>
    <w:rsid w:val="5BCE7A03"/>
    <w:rsid w:val="62175534"/>
    <w:rsid w:val="6A486BD3"/>
    <w:rsid w:val="6F1928EC"/>
    <w:rsid w:val="7D91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1782</Words>
  <Characters>1804</Characters>
  <Lines>0</Lines>
  <Paragraphs>0</Paragraphs>
  <TotalTime>47</TotalTime>
  <ScaleCrop>false</ScaleCrop>
  <LinksUpToDate>false</LinksUpToDate>
  <CharactersWithSpaces>1814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2023-03-16T14:08:00Z</dcterms:created>
  <dc:creator>泡沫香橙子</dc:creator>
  <cp:lastModifiedBy>泡沫香橙子</cp:lastModifiedBy>
  <cp:lastPrinted>2023-03-19T09:39:00Z</cp:lastPrinted>
  <dcterms:modified xsi:type="dcterms:W3CDTF">2024-05-09T02:17:15Z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E7DA6A043FA54CA68F857885A315BE1B_13</vt:lpwstr>
  </property>
</Properties>
</file>