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A2" w:rsidRDefault="004738DB">
      <w:pPr>
        <w:jc w:val="center"/>
        <w:rPr>
          <w:b/>
          <w:szCs w:val="21"/>
          <w:u w:val="double"/>
        </w:rPr>
      </w:pPr>
      <w:r>
        <w:rPr>
          <w:rFonts w:hint="eastAsia"/>
          <w:b/>
          <w:sz w:val="32"/>
          <w:szCs w:val="32"/>
        </w:rPr>
        <w:t>教学设计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5"/>
        <w:gridCol w:w="7527"/>
      </w:tblGrid>
      <w:tr w:rsidR="00E926A2" w:rsidTr="00421ECC">
        <w:trPr>
          <w:trHeight w:val="481"/>
        </w:trPr>
        <w:tc>
          <w:tcPr>
            <w:tcW w:w="1795" w:type="dxa"/>
            <w:vAlign w:val="center"/>
          </w:tcPr>
          <w:p w:rsidR="00E926A2" w:rsidRDefault="004738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7527" w:type="dxa"/>
            <w:vAlign w:val="center"/>
          </w:tcPr>
          <w:p w:rsidR="00E926A2" w:rsidRDefault="00494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由民企座谈会研究高质量发展</w:t>
            </w:r>
          </w:p>
        </w:tc>
      </w:tr>
      <w:tr w:rsidR="00E926A2" w:rsidTr="00421ECC">
        <w:trPr>
          <w:trHeight w:val="394"/>
        </w:trPr>
        <w:tc>
          <w:tcPr>
            <w:tcW w:w="1795" w:type="dxa"/>
            <w:vAlign w:val="center"/>
          </w:tcPr>
          <w:p w:rsidR="00E926A2" w:rsidRDefault="004738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使用教材</w:t>
            </w:r>
          </w:p>
        </w:tc>
        <w:tc>
          <w:tcPr>
            <w:tcW w:w="7527" w:type="dxa"/>
            <w:vAlign w:val="center"/>
          </w:tcPr>
          <w:p w:rsidR="00E926A2" w:rsidRDefault="004738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经济与社会</w:t>
            </w:r>
          </w:p>
        </w:tc>
      </w:tr>
      <w:tr w:rsidR="00E926A2" w:rsidTr="00421ECC">
        <w:trPr>
          <w:trHeight w:val="1583"/>
        </w:trPr>
        <w:tc>
          <w:tcPr>
            <w:tcW w:w="1795" w:type="dxa"/>
            <w:vAlign w:val="center"/>
          </w:tcPr>
          <w:p w:rsidR="00E926A2" w:rsidRDefault="004738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内容分析</w:t>
            </w:r>
          </w:p>
        </w:tc>
        <w:tc>
          <w:tcPr>
            <w:tcW w:w="7527" w:type="dxa"/>
            <w:vAlign w:val="center"/>
          </w:tcPr>
          <w:p w:rsidR="00E926A2" w:rsidRDefault="001E24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4738DB">
              <w:rPr>
                <w:rFonts w:hint="eastAsia"/>
                <w:sz w:val="24"/>
              </w:rPr>
              <w:t>结合</w:t>
            </w:r>
            <w:r w:rsidR="004738DB">
              <w:rPr>
                <w:rFonts w:hint="eastAsia"/>
                <w:sz w:val="24"/>
              </w:rPr>
              <w:t>2</w:t>
            </w:r>
            <w:r w:rsidR="004738DB">
              <w:rPr>
                <w:rFonts w:hint="eastAsia"/>
                <w:sz w:val="24"/>
              </w:rPr>
              <w:t>月</w:t>
            </w:r>
            <w:r w:rsidR="004738DB">
              <w:rPr>
                <w:rFonts w:hint="eastAsia"/>
                <w:sz w:val="24"/>
              </w:rPr>
              <w:t>17</w:t>
            </w:r>
            <w:r w:rsidR="004738DB">
              <w:rPr>
                <w:rFonts w:hint="eastAsia"/>
                <w:sz w:val="24"/>
              </w:rPr>
              <w:t>日召开的民营企业座谈会，复习</w:t>
            </w:r>
            <w:proofErr w:type="gramStart"/>
            <w:r w:rsidR="004738DB">
              <w:rPr>
                <w:rFonts w:hint="eastAsia"/>
                <w:sz w:val="24"/>
              </w:rPr>
              <w:t>回顾非</w:t>
            </w:r>
            <w:proofErr w:type="gramEnd"/>
            <w:r w:rsidR="004738DB">
              <w:rPr>
                <w:rFonts w:hint="eastAsia"/>
                <w:sz w:val="24"/>
              </w:rPr>
              <w:t>公有制经济的地位、作用，剖析该时政热点背后隐含的经济学道理，分析如何协同发挥有效市场与有为政府的合力作用，毫不动摇的鼓励支持引导非公有制经济发展，贯彻落实新发展理念，推动经济高质量发展。</w:t>
            </w:r>
          </w:p>
        </w:tc>
      </w:tr>
      <w:tr w:rsidR="00E926A2" w:rsidTr="00421ECC">
        <w:trPr>
          <w:trHeight w:val="1422"/>
        </w:trPr>
        <w:tc>
          <w:tcPr>
            <w:tcW w:w="1795" w:type="dxa"/>
            <w:vAlign w:val="center"/>
          </w:tcPr>
          <w:p w:rsidR="00E926A2" w:rsidRDefault="004738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学情分析</w:t>
            </w:r>
          </w:p>
        </w:tc>
        <w:tc>
          <w:tcPr>
            <w:tcW w:w="7527" w:type="dxa"/>
            <w:vAlign w:val="center"/>
          </w:tcPr>
          <w:p w:rsidR="00E926A2" w:rsidRDefault="001E24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4738DB">
              <w:rPr>
                <w:rFonts w:hint="eastAsia"/>
                <w:sz w:val="24"/>
              </w:rPr>
              <w:t>经过一轮系统复习后，学生对于基本知识已经有了较为扎实的把握。能够简单运用课本知识分析基本经济现象，但对于不同范围的知识缺乏整体性框架的构建，不能做到根据时政热点，大跨度综合运用知识。</w:t>
            </w:r>
          </w:p>
        </w:tc>
      </w:tr>
      <w:tr w:rsidR="00E926A2" w:rsidTr="00421ECC">
        <w:trPr>
          <w:trHeight w:val="2678"/>
        </w:trPr>
        <w:tc>
          <w:tcPr>
            <w:tcW w:w="1795" w:type="dxa"/>
            <w:vAlign w:val="center"/>
          </w:tcPr>
          <w:p w:rsidR="00E926A2" w:rsidRDefault="004738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教学目标</w:t>
            </w:r>
          </w:p>
        </w:tc>
        <w:tc>
          <w:tcPr>
            <w:tcW w:w="7527" w:type="dxa"/>
            <w:vAlign w:val="center"/>
          </w:tcPr>
          <w:p w:rsidR="00E926A2" w:rsidRDefault="004738D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知识层面，能够构建教材的整体知识框架，并识记细化知识点</w:t>
            </w:r>
          </w:p>
          <w:p w:rsidR="00E926A2" w:rsidRDefault="004738D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能力层面，能够根据具体时政材料，大跨度调取运用知识点，分析材料</w:t>
            </w:r>
          </w:p>
          <w:p w:rsidR="00E926A2" w:rsidRDefault="004738D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情感态度价值观层面，通过时政材料的阅读，增强对中国特色社会主义的认同感，提升民族自信心自豪感</w:t>
            </w:r>
          </w:p>
        </w:tc>
      </w:tr>
      <w:tr w:rsidR="00E926A2" w:rsidTr="00421ECC">
        <w:trPr>
          <w:trHeight w:val="577"/>
        </w:trPr>
        <w:tc>
          <w:tcPr>
            <w:tcW w:w="1795" w:type="dxa"/>
            <w:vAlign w:val="center"/>
          </w:tcPr>
          <w:p w:rsidR="00E926A2" w:rsidRDefault="004738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教学重点</w:t>
            </w:r>
          </w:p>
        </w:tc>
        <w:tc>
          <w:tcPr>
            <w:tcW w:w="7527" w:type="dxa"/>
            <w:vAlign w:val="center"/>
          </w:tcPr>
          <w:p w:rsidR="00E926A2" w:rsidRDefault="004738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以时政热点为载体，大跨度综合运用知识</w:t>
            </w:r>
          </w:p>
        </w:tc>
      </w:tr>
      <w:tr w:rsidR="00E926A2" w:rsidTr="00421ECC">
        <w:trPr>
          <w:trHeight w:val="559"/>
        </w:trPr>
        <w:tc>
          <w:tcPr>
            <w:tcW w:w="1795" w:type="dxa"/>
            <w:vAlign w:val="center"/>
          </w:tcPr>
          <w:p w:rsidR="00E926A2" w:rsidRDefault="004738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教学难点</w:t>
            </w:r>
          </w:p>
        </w:tc>
        <w:tc>
          <w:tcPr>
            <w:tcW w:w="7527" w:type="dxa"/>
            <w:vAlign w:val="center"/>
          </w:tcPr>
          <w:p w:rsidR="00E926A2" w:rsidRDefault="004738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分析时政热点能力提升；大跨度综合运用知识能力提升</w:t>
            </w:r>
          </w:p>
        </w:tc>
      </w:tr>
      <w:tr w:rsidR="00E926A2" w:rsidTr="00421ECC">
        <w:trPr>
          <w:trHeight w:val="633"/>
        </w:trPr>
        <w:tc>
          <w:tcPr>
            <w:tcW w:w="9322" w:type="dxa"/>
            <w:gridSpan w:val="2"/>
            <w:vAlign w:val="center"/>
          </w:tcPr>
          <w:p w:rsidR="00E926A2" w:rsidRDefault="004738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</w:tr>
      <w:tr w:rsidR="00E926A2" w:rsidTr="004A32C5">
        <w:trPr>
          <w:trHeight w:val="1019"/>
        </w:trPr>
        <w:tc>
          <w:tcPr>
            <w:tcW w:w="1795" w:type="dxa"/>
            <w:vAlign w:val="center"/>
          </w:tcPr>
          <w:p w:rsidR="00E926A2" w:rsidRDefault="00E926A2" w:rsidP="00DF34FC">
            <w:pPr>
              <w:rPr>
                <w:sz w:val="24"/>
              </w:rPr>
            </w:pPr>
          </w:p>
          <w:p w:rsidR="00E926A2" w:rsidRDefault="004738DB" w:rsidP="004A3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一、导入</w:t>
            </w:r>
          </w:p>
          <w:p w:rsidR="00E926A2" w:rsidRDefault="00E926A2" w:rsidP="004A32C5">
            <w:pPr>
              <w:jc w:val="center"/>
              <w:rPr>
                <w:sz w:val="24"/>
              </w:rPr>
            </w:pPr>
          </w:p>
        </w:tc>
        <w:tc>
          <w:tcPr>
            <w:tcW w:w="7527" w:type="dxa"/>
            <w:vAlign w:val="center"/>
          </w:tcPr>
          <w:p w:rsidR="00E926A2" w:rsidRDefault="004738DB" w:rsidP="004157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民营企业座谈会时政评论视频</w:t>
            </w:r>
            <w:r w:rsidR="0041570F">
              <w:rPr>
                <w:rFonts w:hint="eastAsia"/>
                <w:color w:val="000000"/>
                <w:sz w:val="24"/>
              </w:rPr>
              <w:t>以及习总书记在民企座谈会中的讲话总结材料</w:t>
            </w:r>
            <w:r>
              <w:rPr>
                <w:rFonts w:hint="eastAsia"/>
                <w:color w:val="000000"/>
                <w:sz w:val="24"/>
              </w:rPr>
              <w:t>导入</w:t>
            </w:r>
          </w:p>
        </w:tc>
      </w:tr>
      <w:tr w:rsidR="00E926A2" w:rsidTr="004A32C5">
        <w:trPr>
          <w:trHeight w:val="3125"/>
        </w:trPr>
        <w:tc>
          <w:tcPr>
            <w:tcW w:w="1795" w:type="dxa"/>
            <w:vAlign w:val="center"/>
          </w:tcPr>
          <w:p w:rsidR="00E926A2" w:rsidRDefault="00E926A2" w:rsidP="004A32C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E926A2" w:rsidRDefault="00E926A2" w:rsidP="004A32C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E926A2" w:rsidRDefault="004738DB" w:rsidP="004A32C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二、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复习</w:t>
            </w:r>
          </w:p>
          <w:p w:rsidR="00E926A2" w:rsidRDefault="00E926A2" w:rsidP="004A32C5">
            <w:pPr>
              <w:jc w:val="center"/>
              <w:rPr>
                <w:sz w:val="24"/>
              </w:rPr>
            </w:pPr>
          </w:p>
          <w:p w:rsidR="00E926A2" w:rsidRDefault="00E926A2" w:rsidP="004A32C5">
            <w:pPr>
              <w:jc w:val="center"/>
              <w:rPr>
                <w:sz w:val="24"/>
              </w:rPr>
            </w:pPr>
          </w:p>
          <w:p w:rsidR="00E926A2" w:rsidRDefault="00E926A2" w:rsidP="004A32C5">
            <w:pPr>
              <w:jc w:val="center"/>
              <w:rPr>
                <w:sz w:val="24"/>
              </w:rPr>
            </w:pPr>
          </w:p>
          <w:p w:rsidR="00E926A2" w:rsidRDefault="00E926A2" w:rsidP="004A32C5">
            <w:pPr>
              <w:jc w:val="center"/>
              <w:rPr>
                <w:sz w:val="24"/>
              </w:rPr>
            </w:pPr>
          </w:p>
          <w:p w:rsidR="00E926A2" w:rsidRDefault="00E926A2" w:rsidP="004A32C5">
            <w:pPr>
              <w:jc w:val="center"/>
              <w:rPr>
                <w:sz w:val="24"/>
              </w:rPr>
            </w:pPr>
          </w:p>
          <w:p w:rsidR="00E926A2" w:rsidRDefault="00E926A2" w:rsidP="004A32C5">
            <w:pPr>
              <w:jc w:val="center"/>
              <w:rPr>
                <w:sz w:val="24"/>
              </w:rPr>
            </w:pPr>
          </w:p>
          <w:p w:rsidR="00E926A2" w:rsidRDefault="00E926A2" w:rsidP="004A32C5">
            <w:pPr>
              <w:jc w:val="center"/>
              <w:rPr>
                <w:sz w:val="24"/>
              </w:rPr>
            </w:pPr>
          </w:p>
          <w:p w:rsidR="00E926A2" w:rsidRDefault="00E926A2" w:rsidP="004A32C5">
            <w:pPr>
              <w:jc w:val="center"/>
              <w:rPr>
                <w:sz w:val="24"/>
              </w:rPr>
            </w:pPr>
          </w:p>
          <w:p w:rsidR="00E926A2" w:rsidRDefault="00E926A2" w:rsidP="004A32C5">
            <w:pPr>
              <w:jc w:val="center"/>
              <w:rPr>
                <w:sz w:val="24"/>
              </w:rPr>
            </w:pPr>
          </w:p>
          <w:p w:rsidR="00E926A2" w:rsidRDefault="00E926A2" w:rsidP="004A32C5">
            <w:pPr>
              <w:jc w:val="center"/>
              <w:rPr>
                <w:sz w:val="24"/>
              </w:rPr>
            </w:pPr>
          </w:p>
        </w:tc>
        <w:tc>
          <w:tcPr>
            <w:tcW w:w="7527" w:type="dxa"/>
            <w:shd w:val="clear" w:color="auto" w:fill="auto"/>
          </w:tcPr>
          <w:p w:rsidR="0041570F" w:rsidRDefault="0041570F" w:rsidP="0041570F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lastRenderedPageBreak/>
              <w:t>一</w:t>
            </w:r>
            <w:r w:rsid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时政热点攻略</w:t>
            </w:r>
          </w:p>
          <w:p w:rsidR="0041570F" w:rsidRDefault="0041570F" w:rsidP="0041570F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结合导入视频及材料，引导学生</w:t>
            </w:r>
            <w:r w:rsidRPr="0041570F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思考总结：</w:t>
            </w:r>
          </w:p>
          <w:p w:rsidR="0041570F" w:rsidRDefault="0041570F" w:rsidP="00421ECC">
            <w:pPr>
              <w:pStyle w:val="a5"/>
              <w:spacing w:before="0" w:beforeAutospacing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1570F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1.</w:t>
            </w:r>
            <w:r w:rsidRPr="0041570F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为什么时隔六年再次召开民营企业座谈会？</w:t>
            </w:r>
          </w:p>
          <w:p w:rsidR="0041570F" w:rsidRDefault="0041570F" w:rsidP="00421ECC">
            <w:pPr>
              <w:pStyle w:val="a5"/>
              <w:spacing w:before="0" w:beforeAutospacing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1570F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2.</w:t>
            </w:r>
            <w:r w:rsidRPr="0041570F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我国如何推动民营经济发展？</w:t>
            </w:r>
          </w:p>
          <w:p w:rsidR="00E926A2" w:rsidRDefault="0041570F" w:rsidP="00421ECC">
            <w:pPr>
              <w:pStyle w:val="a5"/>
              <w:spacing w:before="0" w:beforeAutospacing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1570F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3.</w:t>
            </w:r>
            <w:r w:rsidRPr="0041570F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民营企业座谈会与会企业名单传递出什么信号？</w:t>
            </w:r>
          </w:p>
          <w:p w:rsidR="00353E79" w:rsidRDefault="0041570F" w:rsidP="00421ECC">
            <w:pPr>
              <w:pStyle w:val="a5"/>
              <w:spacing w:before="0" w:beforeAutospacing="0"/>
              <w:ind w:firstLineChars="200" w:firstLine="48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根据教材知识总结，学生能够由关于非公有制经济地位、作用，以及毫不动摇的鼓励、支持、引导非公有制经济的措施等知识回答问题</w:t>
            </w: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和</w:t>
            </w: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2</w:t>
            </w:r>
            <w:r w:rsidR="00353E79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；由视频材料，学生能够总结出与会企业均为新质生产力，回答问题</w:t>
            </w:r>
            <w:r w:rsidR="007A0E3D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3</w:t>
            </w:r>
            <w:r w:rsidR="007A0E3D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。</w:t>
            </w:r>
          </w:p>
          <w:p w:rsidR="00406A3E" w:rsidRDefault="00406A3E" w:rsidP="0041570F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lastRenderedPageBreak/>
              <w:t>二、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热词延展</w:t>
            </w:r>
            <w:proofErr w:type="gramEnd"/>
          </w:p>
          <w:p w:rsidR="00406A3E" w:rsidRDefault="00406A3E" w:rsidP="0041570F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1.</w:t>
            </w:r>
            <w:r w:rsidRP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你能列举出哪些新质生产力企业代表？</w:t>
            </w:r>
          </w:p>
          <w:p w:rsidR="00406A3E" w:rsidRDefault="00406A3E" w:rsidP="0041570F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2.</w:t>
            </w:r>
            <w:r w:rsidRP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你了解国家为发展新质生产力采取了何种措施吗？</w:t>
            </w:r>
          </w:p>
          <w:p w:rsidR="00406A3E" w:rsidRDefault="00406A3E" w:rsidP="0041570F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3.</w:t>
            </w:r>
            <w:r w:rsidRP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大力发展新质生产力有何意义？</w:t>
            </w:r>
          </w:p>
          <w:p w:rsidR="00406A3E" w:rsidRDefault="00406A3E" w:rsidP="00421ECC">
            <w:pPr>
              <w:pStyle w:val="a5"/>
              <w:ind w:firstLineChars="200" w:firstLine="48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学生能够根据生活见闻，谈谈关于新质生产力的认识，初步形成关于三个问题的答案，教师根据学生回答总结介绍新质生产力含义、措施实例以及意义。</w:t>
            </w:r>
          </w:p>
          <w:p w:rsidR="00406A3E" w:rsidRDefault="00406A3E" w:rsidP="00406A3E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三、总结提升</w:t>
            </w:r>
          </w:p>
          <w:p w:rsidR="00406A3E" w:rsidRDefault="00406A3E" w:rsidP="00406A3E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复习：</w:t>
            </w:r>
          </w:p>
          <w:p w:rsidR="00406A3E" w:rsidRDefault="00406A3E" w:rsidP="00406A3E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（一）实体经济、数字经济</w:t>
            </w:r>
          </w:p>
          <w:p w:rsidR="00406A3E" w:rsidRDefault="00406A3E" w:rsidP="00406A3E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1.</w:t>
            </w:r>
            <w:r w:rsidRP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含义</w:t>
            </w:r>
          </w:p>
          <w:p w:rsidR="00406A3E" w:rsidRDefault="00406A3E" w:rsidP="00406A3E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2.</w:t>
            </w:r>
            <w:r w:rsidRP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地位</w:t>
            </w:r>
          </w:p>
          <w:p w:rsidR="00406A3E" w:rsidRDefault="00406A3E" w:rsidP="00406A3E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（二）高质量发展</w:t>
            </w:r>
          </w:p>
          <w:p w:rsidR="00406A3E" w:rsidRDefault="00406A3E" w:rsidP="00406A3E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1.</w:t>
            </w:r>
            <w:r w:rsidRP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新发展理念</w:t>
            </w:r>
          </w:p>
          <w:p w:rsidR="00406A3E" w:rsidRDefault="00406A3E" w:rsidP="00406A3E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2.</w:t>
            </w:r>
            <w:r w:rsidRPr="00406A3E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如何推动高质量发展</w:t>
            </w:r>
          </w:p>
          <w:p w:rsidR="00406A3E" w:rsidRDefault="00687CEA" w:rsidP="00421ECC">
            <w:pPr>
              <w:pStyle w:val="a5"/>
              <w:ind w:firstLineChars="200" w:firstLine="48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由新质生产力总结实体经济和数字经济的概念，引导学生根据所学知识总结实体经济和数字经济地位，由发展新质生产力的意义引出高质量发展概念，引导学生总结如何推动高质量发展</w:t>
            </w:r>
            <w:r w:rsidR="007A0E3D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。</w:t>
            </w:r>
          </w:p>
          <w:p w:rsidR="00687CEA" w:rsidRDefault="00687CEA" w:rsidP="00406A3E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四、真题演练</w:t>
            </w:r>
          </w:p>
          <w:p w:rsidR="00687CEA" w:rsidRDefault="00687CEA" w:rsidP="00406A3E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87CEA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(2023</w:t>
            </w:r>
            <w:r w:rsidRPr="00687CEA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·湖南高考·</w:t>
            </w: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T17)</w:t>
            </w:r>
          </w:p>
          <w:p w:rsidR="00687CEA" w:rsidRDefault="00687CEA" w:rsidP="00406A3E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87CEA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材料</w:t>
            </w:r>
            <w:proofErr w:type="gramStart"/>
            <w:r w:rsidRPr="00687CEA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 xml:space="preserve"> </w:t>
            </w:r>
            <w:r w:rsidRPr="00687CEA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进入新时代以来，我国不断通过制度创新和体制机制创新，破除民营企业市场准入门槛，激发民营企业的积极性，严格保护民营经济市场主体经营自主权、财产权等合法权益，引导民营经济健康发展、高质量发展。面对新时代新挑战，广大民营企业奋力拼搏，发挥经营自主灵活的优势，发展韧性不断增强，发展活力不断迸发，民营经济已成为发展主力军和转型升级排头兵，还是创新创业主战场和推动实现共同富裕的重要力量。</w:t>
            </w:r>
          </w:p>
          <w:p w:rsidR="00687CEA" w:rsidRDefault="00687CEA" w:rsidP="00DF34FC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87CEA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结合材料一，运用经济与社会知识，说明我国民营经济的韧性与活力来自哪里。</w:t>
            </w:r>
            <w:r w:rsidRPr="00687CEA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(8</w:t>
            </w:r>
            <w:r w:rsidRPr="00687CEA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分</w:t>
            </w:r>
            <w:r w:rsidRPr="00687CEA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)</w:t>
            </w:r>
            <w:r w:rsidRPr="00687CEA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cr/>
            </w:r>
          </w:p>
          <w:p w:rsidR="00687CEA" w:rsidRDefault="00687CEA" w:rsidP="00421ECC">
            <w:pPr>
              <w:pStyle w:val="a5"/>
              <w:ind w:firstLineChars="200" w:firstLine="48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lastRenderedPageBreak/>
              <w:t>结合真题，引导学生分析设问、转化设问、调用知识、组织答案，并结合评分细则，带领学生感受把握得分点，科学备考。</w:t>
            </w:r>
          </w:p>
          <w:p w:rsidR="00687CEA" w:rsidRDefault="00687CEA" w:rsidP="00406A3E">
            <w:pPr>
              <w:pStyle w:val="a5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五、</w:t>
            </w:r>
            <w:r w:rsidRPr="00687CEA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前挂后联</w:t>
            </w:r>
            <w:r w:rsidRPr="00687CEA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 xml:space="preserve"> </w:t>
            </w:r>
            <w:r w:rsidRPr="00687CEA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沟通模块</w:t>
            </w:r>
          </w:p>
          <w:p w:rsidR="00687CEA" w:rsidRPr="00687CEA" w:rsidRDefault="00687CEA" w:rsidP="00421ECC">
            <w:pPr>
              <w:pStyle w:val="a5"/>
              <w:ind w:firstLineChars="200" w:firstLine="48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建立模块间联系，帮助学生进行跨模块融合，整体把握学科教材。</w:t>
            </w:r>
          </w:p>
        </w:tc>
      </w:tr>
      <w:tr w:rsidR="00E926A2" w:rsidTr="004A32C5">
        <w:trPr>
          <w:trHeight w:val="562"/>
        </w:trPr>
        <w:tc>
          <w:tcPr>
            <w:tcW w:w="1795" w:type="dxa"/>
            <w:vAlign w:val="center"/>
          </w:tcPr>
          <w:p w:rsidR="00E926A2" w:rsidRDefault="004738DB" w:rsidP="004A3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三、课堂小结</w:t>
            </w:r>
          </w:p>
        </w:tc>
        <w:tc>
          <w:tcPr>
            <w:tcW w:w="7527" w:type="dxa"/>
            <w:shd w:val="clear" w:color="auto" w:fill="auto"/>
          </w:tcPr>
          <w:p w:rsidR="004A32C5" w:rsidRDefault="009E2BF3" w:rsidP="00F0156D">
            <w:pPr>
              <w:pStyle w:val="a5"/>
              <w:spacing w:line="36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 xml:space="preserve">    </w:t>
            </w:r>
            <w:r w:rsidR="00687CEA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本节课围绕民营企业座谈会进行研究，</w:t>
            </w:r>
            <w:r w:rsidR="00F0156D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从课本知识的调用和时政材料的分析两个角度双管齐下，加深学生对教材知识的认识，提升材料分析能力。</w:t>
            </w:r>
          </w:p>
          <w:p w:rsidR="00E926A2" w:rsidRDefault="009E2BF3" w:rsidP="00F0156D">
            <w:pPr>
              <w:pStyle w:val="a5"/>
              <w:spacing w:line="36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 xml:space="preserve">    </w:t>
            </w:r>
            <w:r w:rsidR="00F0156D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涉及到的知识点包括：非公有制经济的地位、作用；如何推动非公有制经济发展（社会主义市场经济体制</w:t>
            </w:r>
            <w:r w:rsidR="00F0156D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-</w:t>
            </w:r>
            <w:r w:rsidR="00F0156D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制度保障）；实体经济、数字经济；新发展理念；高质量发展。</w:t>
            </w:r>
          </w:p>
        </w:tc>
      </w:tr>
      <w:tr w:rsidR="00E926A2" w:rsidTr="004A32C5">
        <w:trPr>
          <w:trHeight w:val="504"/>
        </w:trPr>
        <w:tc>
          <w:tcPr>
            <w:tcW w:w="1795" w:type="dxa"/>
            <w:vAlign w:val="center"/>
          </w:tcPr>
          <w:p w:rsidR="00E926A2" w:rsidRDefault="004738DB" w:rsidP="004A3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四、作业布置</w:t>
            </w:r>
          </w:p>
        </w:tc>
        <w:tc>
          <w:tcPr>
            <w:tcW w:w="7527" w:type="dxa"/>
            <w:shd w:val="clear" w:color="auto" w:fill="auto"/>
          </w:tcPr>
          <w:p w:rsidR="00E926A2" w:rsidRDefault="004738DB">
            <w:pPr>
              <w:pStyle w:val="a5"/>
              <w:spacing w:line="36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收集民营经济相关时政材料，总结经济学相关专业术语。</w:t>
            </w:r>
          </w:p>
          <w:p w:rsidR="00E926A2" w:rsidRDefault="004738DB">
            <w:pPr>
              <w:pStyle w:val="a5"/>
              <w:spacing w:line="36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2.</w:t>
            </w: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</w:rPr>
              <w:t>以民营企业座谈会为载体，构建经济与社会知识结构导图。</w:t>
            </w:r>
          </w:p>
        </w:tc>
      </w:tr>
      <w:tr w:rsidR="00E926A2" w:rsidTr="001246B5">
        <w:trPr>
          <w:trHeight w:val="2306"/>
        </w:trPr>
        <w:tc>
          <w:tcPr>
            <w:tcW w:w="1795" w:type="dxa"/>
            <w:vAlign w:val="center"/>
          </w:tcPr>
          <w:p w:rsidR="00E926A2" w:rsidRDefault="004738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五、板书设计</w:t>
            </w:r>
          </w:p>
        </w:tc>
        <w:tc>
          <w:tcPr>
            <w:tcW w:w="7527" w:type="dxa"/>
            <w:vAlign w:val="center"/>
          </w:tcPr>
          <w:p w:rsidR="00F0156D" w:rsidRDefault="003639D4" w:rsidP="00F0156D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295.05pt;margin-top:9pt;width:29.85pt;height:66.1pt;z-index:251660288;mso-position-horizontal-relative:text;mso-position-vertical-relative:text" stroked="f">
                  <v:textbox style="layout-flow:vertical-ideographic;mso-next-textbox:#_x0000_s2052">
                    <w:txbxContent>
                      <w:p w:rsidR="00F0156D" w:rsidRDefault="00F0156D">
                        <w:r>
                          <w:rPr>
                            <w:rFonts w:hint="eastAsia"/>
                          </w:rPr>
                          <w:t>高质量发展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285.6pt;margin-top:2.4pt;width:0;height:1in;z-index:251659264;mso-position-horizontal-relative:text;mso-position-vertical-relative:text" o:connectortype="straight"/>
              </w:pict>
            </w:r>
            <w:r>
              <w:rPr>
                <w:noProof/>
                <w:sz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050" type="#_x0000_t87" style="position:absolute;left:0;text-align:left;margin-left:79.05pt;margin-top:2.4pt;width:12pt;height:1in;z-index:251658240;mso-position-horizontal-relative:text;mso-position-vertical-relative:text"/>
              </w:pict>
            </w:r>
            <w:r w:rsidR="00F0156D">
              <w:rPr>
                <w:rFonts w:hint="eastAsia"/>
                <w:sz w:val="24"/>
              </w:rPr>
              <w:t xml:space="preserve">                </w:t>
            </w:r>
            <w:r w:rsidR="00F0156D">
              <w:rPr>
                <w:rFonts w:hint="eastAsia"/>
                <w:sz w:val="24"/>
              </w:rPr>
              <w:t>为什么：地位、作用</w:t>
            </w:r>
          </w:p>
          <w:p w:rsidR="00F0156D" w:rsidRDefault="00F0156D" w:rsidP="00F015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如何推动：政府、市场、</w:t>
            </w:r>
            <w:proofErr w:type="gramStart"/>
            <w:r>
              <w:rPr>
                <w:rFonts w:hint="eastAsia"/>
                <w:sz w:val="24"/>
              </w:rPr>
              <w:t>经济人</w:t>
            </w:r>
            <w:proofErr w:type="gramEnd"/>
            <w:r>
              <w:rPr>
                <w:rFonts w:hint="eastAsia"/>
                <w:sz w:val="24"/>
              </w:rPr>
              <w:t>士</w:t>
            </w:r>
          </w:p>
          <w:p w:rsidR="00E926A2" w:rsidRDefault="00F0156D" w:rsidP="00F015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非公有制经济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（有为政府与有效市场）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F0156D" w:rsidRDefault="00F0156D" w:rsidP="00F015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:rsidR="00F0156D" w:rsidRDefault="00F0156D" w:rsidP="00F0156D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新质生产力、实体经济、数字经济</w:t>
            </w:r>
          </w:p>
        </w:tc>
      </w:tr>
      <w:tr w:rsidR="00E926A2" w:rsidTr="001246B5">
        <w:trPr>
          <w:trHeight w:val="2977"/>
        </w:trPr>
        <w:tc>
          <w:tcPr>
            <w:tcW w:w="1795" w:type="dxa"/>
            <w:vAlign w:val="center"/>
          </w:tcPr>
          <w:p w:rsidR="00E926A2" w:rsidRDefault="004738DB" w:rsidP="001246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六、教学反思</w:t>
            </w:r>
          </w:p>
        </w:tc>
        <w:tc>
          <w:tcPr>
            <w:tcW w:w="7527" w:type="dxa"/>
            <w:vAlign w:val="center"/>
          </w:tcPr>
          <w:p w:rsidR="00421ECC" w:rsidRDefault="001246B5" w:rsidP="001246B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7A0E3D">
              <w:rPr>
                <w:rFonts w:hint="eastAsia"/>
                <w:sz w:val="24"/>
              </w:rPr>
              <w:t>本节课以民营企业座谈会时政热点作为切入口，引导学生运用教材知识分析具体情境，提升学生材料分析能力与培养。教学活动推进基本能够按照预期进行，</w:t>
            </w:r>
            <w:r>
              <w:rPr>
                <w:rFonts w:hint="eastAsia"/>
                <w:sz w:val="24"/>
              </w:rPr>
              <w:t>教学开展基本能够达到预期。但本节课也反应出一些亟待解决的问题，尤其是学生基础知识的掌握问题和分析总结材料的能力欠缺问题。在后续教学过程中还需要加强对学生基础知识的检查和督促，并且加强对学生能力提升的引导锻炼。</w:t>
            </w:r>
          </w:p>
        </w:tc>
      </w:tr>
    </w:tbl>
    <w:p w:rsidR="00E926A2" w:rsidRDefault="00E926A2"/>
    <w:sectPr w:rsidR="00E926A2" w:rsidSect="00E926A2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6A2" w:rsidRDefault="00E926A2" w:rsidP="00E926A2">
      <w:r>
        <w:separator/>
      </w:r>
    </w:p>
  </w:endnote>
  <w:endnote w:type="continuationSeparator" w:id="1">
    <w:p w:rsidR="00E926A2" w:rsidRDefault="00E926A2" w:rsidP="00E92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6A2" w:rsidRDefault="00E926A2" w:rsidP="00E926A2">
      <w:r>
        <w:separator/>
      </w:r>
    </w:p>
  </w:footnote>
  <w:footnote w:type="continuationSeparator" w:id="1">
    <w:p w:rsidR="00E926A2" w:rsidRDefault="00E926A2" w:rsidP="00E92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A2" w:rsidRDefault="00E926A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660C7"/>
    <w:multiLevelType w:val="singleLevel"/>
    <w:tmpl w:val="7FB660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jb3VudCI6OCwiaGRpZCI6ImY0OTM2YWQyNWI4NTliMGMyYWJiYTM4NjczNWU0NjY0IiwidXNlckNvdW50Ijo0fQ=="/>
  </w:docVars>
  <w:rsids>
    <w:rsidRoot w:val="69E50C5D"/>
    <w:rsid w:val="000D5727"/>
    <w:rsid w:val="001246B5"/>
    <w:rsid w:val="001E2412"/>
    <w:rsid w:val="002037F7"/>
    <w:rsid w:val="0032363F"/>
    <w:rsid w:val="00353E79"/>
    <w:rsid w:val="003639D4"/>
    <w:rsid w:val="00374278"/>
    <w:rsid w:val="003C5E78"/>
    <w:rsid w:val="00406A3E"/>
    <w:rsid w:val="0041570F"/>
    <w:rsid w:val="00421ECC"/>
    <w:rsid w:val="00461453"/>
    <w:rsid w:val="004738DB"/>
    <w:rsid w:val="00494AC3"/>
    <w:rsid w:val="004A32C5"/>
    <w:rsid w:val="005602B9"/>
    <w:rsid w:val="00687CEA"/>
    <w:rsid w:val="007A0E3D"/>
    <w:rsid w:val="007C21AF"/>
    <w:rsid w:val="00834300"/>
    <w:rsid w:val="00864611"/>
    <w:rsid w:val="009E2BF3"/>
    <w:rsid w:val="00B21AB4"/>
    <w:rsid w:val="00B4075D"/>
    <w:rsid w:val="00DF34FC"/>
    <w:rsid w:val="00E926A2"/>
    <w:rsid w:val="00F0156D"/>
    <w:rsid w:val="096E1BA5"/>
    <w:rsid w:val="1CA6210E"/>
    <w:rsid w:val="1E431BA1"/>
    <w:rsid w:val="23CB7F07"/>
    <w:rsid w:val="25274282"/>
    <w:rsid w:val="2B231A63"/>
    <w:rsid w:val="30871DAD"/>
    <w:rsid w:val="33D80464"/>
    <w:rsid w:val="34122FFC"/>
    <w:rsid w:val="3D7840C3"/>
    <w:rsid w:val="484F3DFE"/>
    <w:rsid w:val="4D4655BF"/>
    <w:rsid w:val="544669FD"/>
    <w:rsid w:val="6122434D"/>
    <w:rsid w:val="69E50C5D"/>
    <w:rsid w:val="718801FD"/>
    <w:rsid w:val="743F3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strokecolor="none"/>
    </o:shapedefaults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92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9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926A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Char0">
    <w:name w:val="页眉 Char"/>
    <w:basedOn w:val="a0"/>
    <w:link w:val="a4"/>
    <w:qFormat/>
    <w:rsid w:val="00E926A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926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67;&#26191;\AppData\Roaming\kingsoft\office6\templates\download\a5932593-6c8e-47cf-951f-3588bbf7c875\&#25945;&#23398;&#35774;&#35745;&#34920;&#26684;&#27169;&#26495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教学设计表格模板</Template>
  <TotalTime>435</TotalTime>
  <Pages>3</Pages>
  <Words>278</Words>
  <Characters>1589</Characters>
  <Application>Microsoft Office Word</Application>
  <DocSecurity>0</DocSecurity>
  <Lines>13</Lines>
  <Paragraphs>3</Paragraphs>
  <ScaleCrop>false</ScaleCrop>
  <Company>P R C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且月廿五</dc:creator>
  <cp:lastModifiedBy>Windows User</cp:lastModifiedBy>
  <cp:revision>14</cp:revision>
  <dcterms:created xsi:type="dcterms:W3CDTF">2024-05-28T08:13:00Z</dcterms:created>
  <dcterms:modified xsi:type="dcterms:W3CDTF">2025-03-07T02:31:00Z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UUID">
    <vt:lpwstr>v1.0_mb_qWv8kethquGL+GmY7gsG9g==</vt:lpwstr>
  </property>
  <property fmtid="{D5CDD505-2E9C-101B-9397-08002B2CF9AE}" pid="4" name="ICV">
    <vt:lpwstr>1ED516FC9AB04B8C8890778EC3D51DAA_11</vt:lpwstr>
  </property>
</Properties>
</file>