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BE53" w14:textId="7F333BC2" w:rsidR="002B13DD" w:rsidRPr="002B13DD" w:rsidRDefault="002B13DD" w:rsidP="002B13DD">
      <w:pPr>
        <w:adjustRightInd w:val="0"/>
        <w:snapToGrid w:val="0"/>
        <w:spacing w:line="540" w:lineRule="exact"/>
        <w:jc w:val="left"/>
        <w:rPr>
          <w:rFonts w:ascii="Times New Roman" w:eastAsia="仿宋" w:hAnsi="Times New Roman" w:hint="eastAsia"/>
          <w:spacing w:val="-12"/>
          <w:sz w:val="32"/>
          <w:szCs w:val="32"/>
        </w:rPr>
      </w:pPr>
      <w:r>
        <w:rPr>
          <w:rFonts w:ascii="Times New Roman" w:eastAsia="仿宋" w:hAnsi="Times New Roman"/>
          <w:spacing w:val="-12"/>
          <w:sz w:val="32"/>
          <w:szCs w:val="32"/>
        </w:rPr>
        <w:t>附件</w:t>
      </w:r>
      <w:r>
        <w:rPr>
          <w:rFonts w:ascii="Times New Roman" w:eastAsia="仿宋" w:hAnsi="Times New Roman" w:hint="eastAsia"/>
          <w:spacing w:val="-12"/>
          <w:sz w:val="32"/>
          <w:szCs w:val="32"/>
        </w:rPr>
        <w:t>1</w:t>
      </w:r>
    </w:p>
    <w:p w14:paraId="1A8A8CBC" w14:textId="77777777" w:rsidR="002B13DD" w:rsidRDefault="002B13DD" w:rsidP="002B13DD">
      <w:pPr>
        <w:spacing w:line="54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兰州大学网络与继续教育学院</w:t>
      </w:r>
    </w:p>
    <w:p w14:paraId="5045C61D" w14:textId="77777777" w:rsidR="002B13DD" w:rsidRDefault="002B13DD" w:rsidP="002B13DD">
      <w:pPr>
        <w:spacing w:line="54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高等学历继续教育优秀校外教学点和先进工作者评选办法</w:t>
      </w:r>
    </w:p>
    <w:p w14:paraId="1FCE1AC2"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为进一步规范兰州大学高等学历继续教育校外教学点管理，提高教学质量，稳定办学规模，树立先进典型，根据《教育部办公厅关于严格规范高等学历继续教育校外教学点设置与管理工作的通知》（</w:t>
      </w:r>
      <w:proofErr w:type="gramStart"/>
      <w:r>
        <w:rPr>
          <w:rFonts w:ascii="仿宋_GB2312" w:eastAsia="仿宋_GB2312" w:hAnsi="仿宋_GB2312" w:cs="仿宋_GB2312" w:hint="eastAsia"/>
          <w:sz w:val="32"/>
          <w:szCs w:val="32"/>
        </w:rPr>
        <w:t>教职成厅〔2022〕</w:t>
      </w:r>
      <w:proofErr w:type="gramEnd"/>
      <w:r>
        <w:rPr>
          <w:rFonts w:ascii="仿宋_GB2312" w:eastAsia="仿宋_GB2312" w:hAnsi="仿宋_GB2312" w:cs="仿宋_GB2312" w:hint="eastAsia"/>
          <w:sz w:val="32"/>
          <w:szCs w:val="32"/>
        </w:rPr>
        <w:t>1号）《教育部关于推进新时代普通高等学校学历继续教育改革的实施意见》（教职成〔2022〕2号）等文件精神，结合学院实际，制定本办法。</w:t>
      </w:r>
    </w:p>
    <w:p w14:paraId="40E53E3F" w14:textId="77777777" w:rsidR="002B13DD" w:rsidRDefault="002B13DD" w:rsidP="002B13DD">
      <w:pPr>
        <w:adjustRightInd w:val="0"/>
        <w:snapToGrid w:val="0"/>
        <w:spacing w:line="540" w:lineRule="exact"/>
        <w:ind w:firstLineChars="200" w:firstLine="643"/>
        <w:rPr>
          <w:rFonts w:ascii="黑体" w:eastAsia="黑体" w:hAnsi="黑体" w:cs="黑体" w:hint="eastAsia"/>
          <w:sz w:val="32"/>
          <w:szCs w:val="32"/>
        </w:rPr>
      </w:pPr>
      <w:r>
        <w:rPr>
          <w:rFonts w:ascii="仿宋_GB2312" w:eastAsia="仿宋_GB2312" w:hAnsi="仿宋_GB2312" w:cs="仿宋_GB2312" w:hint="eastAsia"/>
          <w:b/>
          <w:bCs/>
          <w:sz w:val="32"/>
          <w:szCs w:val="32"/>
        </w:rPr>
        <w:t>第一条 评选对象</w:t>
      </w:r>
    </w:p>
    <w:p w14:paraId="3591D273"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1．经审核并在教育部备案，至少完成一届学生（含应届）教育管理工作的我校高等学历继续教育校外教学点；</w:t>
      </w:r>
    </w:p>
    <w:p w14:paraId="36435E45"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2．直接参与我校高等学历继续教育教育管理工作的校外教学点工作人员（不包括临时聘用的阶段性工作人员）。</w:t>
      </w:r>
    </w:p>
    <w:p w14:paraId="51844466" w14:textId="77777777" w:rsidR="002B13DD" w:rsidRDefault="002B13DD" w:rsidP="002B13DD">
      <w:pPr>
        <w:adjustRightInd w:val="0"/>
        <w:snapToGrid w:val="0"/>
        <w:spacing w:line="540" w:lineRule="exact"/>
        <w:ind w:firstLine="601"/>
        <w:rPr>
          <w:rFonts w:ascii="黑体" w:eastAsia="黑体" w:hAnsi="黑体" w:cs="黑体" w:hint="eastAsia"/>
          <w:bCs/>
          <w:sz w:val="32"/>
          <w:szCs w:val="32"/>
        </w:rPr>
      </w:pPr>
      <w:r>
        <w:rPr>
          <w:rFonts w:ascii="仿宋_GB2312" w:eastAsia="仿宋_GB2312" w:hAnsi="仿宋_GB2312" w:cs="仿宋_GB2312" w:hint="eastAsia"/>
          <w:b/>
          <w:bCs/>
          <w:sz w:val="32"/>
          <w:szCs w:val="32"/>
        </w:rPr>
        <w:t>第二条 评选原则</w:t>
      </w:r>
    </w:p>
    <w:p w14:paraId="5A40D3E5" w14:textId="77777777" w:rsidR="002B13DD" w:rsidRDefault="002B13DD" w:rsidP="002B13DD">
      <w:pPr>
        <w:adjustRightInd w:val="0"/>
        <w:snapToGrid w:val="0"/>
        <w:spacing w:line="540" w:lineRule="exact"/>
        <w:ind w:firstLineChars="200" w:firstLine="640"/>
        <w:rPr>
          <w:rFonts w:ascii="华文仿宋" w:eastAsia="华文仿宋" w:hAnsi="华文仿宋"/>
          <w:sz w:val="32"/>
          <w:szCs w:val="32"/>
        </w:rPr>
      </w:pPr>
      <w:r>
        <w:rPr>
          <w:rFonts w:ascii="仿宋_GB2312" w:eastAsia="仿宋_GB2312" w:hAnsi="仿宋_GB2312" w:cs="仿宋_GB2312" w:hint="eastAsia"/>
          <w:sz w:val="32"/>
          <w:szCs w:val="32"/>
        </w:rPr>
        <w:t>坚持客观公正和促进事业发展的原则，定性、定量相结</w:t>
      </w:r>
      <w:r>
        <w:rPr>
          <w:rFonts w:ascii="华文仿宋" w:eastAsia="华文仿宋" w:hAnsi="华文仿宋"/>
          <w:sz w:val="32"/>
          <w:szCs w:val="32"/>
        </w:rPr>
        <w:t>合的</w:t>
      </w:r>
      <w:r>
        <w:rPr>
          <w:rFonts w:ascii="华文仿宋" w:eastAsia="华文仿宋" w:hAnsi="华文仿宋" w:hint="eastAsia"/>
          <w:sz w:val="32"/>
          <w:szCs w:val="32"/>
        </w:rPr>
        <w:t>考核标准</w:t>
      </w:r>
      <w:r>
        <w:rPr>
          <w:rFonts w:ascii="华文仿宋" w:eastAsia="华文仿宋" w:hAnsi="华文仿宋"/>
          <w:sz w:val="32"/>
          <w:szCs w:val="32"/>
        </w:rPr>
        <w:t>，以</w:t>
      </w:r>
      <w:r>
        <w:rPr>
          <w:rFonts w:ascii="华文仿宋" w:eastAsia="华文仿宋" w:hAnsi="华文仿宋" w:hint="eastAsia"/>
          <w:sz w:val="32"/>
          <w:szCs w:val="32"/>
        </w:rPr>
        <w:t>过程管理和年度考核结果</w:t>
      </w:r>
      <w:r>
        <w:rPr>
          <w:rFonts w:ascii="华文仿宋" w:eastAsia="华文仿宋" w:hAnsi="华文仿宋"/>
          <w:sz w:val="32"/>
          <w:szCs w:val="32"/>
        </w:rPr>
        <w:t>为依据，组织开展评</w:t>
      </w:r>
      <w:r>
        <w:rPr>
          <w:rFonts w:ascii="华文仿宋" w:eastAsia="华文仿宋" w:hAnsi="华文仿宋" w:hint="eastAsia"/>
          <w:sz w:val="32"/>
          <w:szCs w:val="32"/>
        </w:rPr>
        <w:t>选</w:t>
      </w:r>
      <w:r>
        <w:rPr>
          <w:rFonts w:ascii="华文仿宋" w:eastAsia="华文仿宋" w:hAnsi="华文仿宋"/>
          <w:sz w:val="32"/>
          <w:szCs w:val="32"/>
        </w:rPr>
        <w:t>工作。</w:t>
      </w:r>
    </w:p>
    <w:p w14:paraId="040DE60A" w14:textId="77777777" w:rsidR="002B13DD" w:rsidRDefault="002B13DD" w:rsidP="002B13DD">
      <w:pPr>
        <w:adjustRightInd w:val="0"/>
        <w:snapToGrid w:val="0"/>
        <w:spacing w:line="540" w:lineRule="exact"/>
        <w:ind w:firstLineChars="200" w:firstLine="643"/>
        <w:rPr>
          <w:rFonts w:ascii="黑体" w:eastAsia="黑体" w:hAnsi="黑体" w:cs="黑体" w:hint="eastAsia"/>
          <w:sz w:val="32"/>
          <w:szCs w:val="32"/>
        </w:rPr>
      </w:pPr>
      <w:r>
        <w:rPr>
          <w:rFonts w:ascii="仿宋_GB2312" w:eastAsia="仿宋_GB2312" w:hAnsi="仿宋_GB2312" w:cs="仿宋_GB2312" w:hint="eastAsia"/>
          <w:b/>
          <w:bCs/>
          <w:sz w:val="32"/>
          <w:szCs w:val="32"/>
        </w:rPr>
        <w:t>第三条 名额分配</w:t>
      </w:r>
    </w:p>
    <w:p w14:paraId="243ECC0D"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
          <w:sz w:val="32"/>
          <w:szCs w:val="32"/>
        </w:rPr>
        <w:t>优秀校外教学点</w:t>
      </w:r>
    </w:p>
    <w:p w14:paraId="1826CDF7"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根据校外教学点年度综合考核情况，按不超过40%的比例评选优秀校外教学点。</w:t>
      </w:r>
    </w:p>
    <w:p w14:paraId="23B83BE6"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b/>
          <w:sz w:val="32"/>
          <w:szCs w:val="32"/>
        </w:rPr>
        <w:t>先进工作者</w:t>
      </w:r>
    </w:p>
    <w:p w14:paraId="6DDE9EC0"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根据各校外教学点在籍生规模，确定先进工作者名额，具体分配如下：</w:t>
      </w:r>
    </w:p>
    <w:p w14:paraId="107D0E6F" w14:textId="77777777" w:rsidR="002B13DD" w:rsidRDefault="002B13DD" w:rsidP="002B13DD">
      <w:pPr>
        <w:adjustRightInd w:val="0"/>
        <w:snapToGrid w:val="0"/>
        <w:spacing w:line="540" w:lineRule="exact"/>
        <w:ind w:firstLineChars="200" w:firstLine="643"/>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校外教学点先进工作者名额分配表</w:t>
      </w:r>
    </w:p>
    <w:tbl>
      <w:tblPr>
        <w:tblStyle w:val="ae"/>
        <w:tblW w:w="0" w:type="auto"/>
        <w:jc w:val="center"/>
        <w:tblInd w:w="0" w:type="dxa"/>
        <w:tblLook w:val="0000" w:firstRow="0" w:lastRow="0" w:firstColumn="0" w:lastColumn="0" w:noHBand="0" w:noVBand="0"/>
      </w:tblPr>
      <w:tblGrid>
        <w:gridCol w:w="1234"/>
        <w:gridCol w:w="4212"/>
        <w:gridCol w:w="2776"/>
      </w:tblGrid>
      <w:tr w:rsidR="002B13DD" w14:paraId="1B7535B9" w14:textId="77777777" w:rsidTr="00375B90">
        <w:trPr>
          <w:jc w:val="center"/>
        </w:trPr>
        <w:tc>
          <w:tcPr>
            <w:tcW w:w="1234" w:type="dxa"/>
          </w:tcPr>
          <w:p w14:paraId="289F7458" w14:textId="77777777" w:rsidR="002B13DD" w:rsidRDefault="002B13DD" w:rsidP="00375B90">
            <w:pPr>
              <w:adjustRightInd w:val="0"/>
              <w:snapToGrid w:val="0"/>
              <w:spacing w:line="540" w:lineRule="exact"/>
              <w:jc w:val="center"/>
              <w:rPr>
                <w:rFonts w:ascii="宋体" w:hAnsi="宋体" w:cs="宋体" w:hint="eastAsia"/>
                <w:b/>
                <w:sz w:val="24"/>
                <w:szCs w:val="24"/>
              </w:rPr>
            </w:pPr>
            <w:r>
              <w:rPr>
                <w:rFonts w:ascii="宋体" w:hAnsi="宋体" w:cs="宋体" w:hint="eastAsia"/>
                <w:b/>
                <w:sz w:val="24"/>
                <w:szCs w:val="24"/>
              </w:rPr>
              <w:t>序号</w:t>
            </w:r>
          </w:p>
        </w:tc>
        <w:tc>
          <w:tcPr>
            <w:tcW w:w="4212" w:type="dxa"/>
          </w:tcPr>
          <w:p w14:paraId="083F1A68" w14:textId="77777777" w:rsidR="002B13DD" w:rsidRDefault="002B13DD" w:rsidP="00375B90">
            <w:pPr>
              <w:adjustRightInd w:val="0"/>
              <w:snapToGrid w:val="0"/>
              <w:spacing w:line="540" w:lineRule="exact"/>
              <w:jc w:val="center"/>
              <w:rPr>
                <w:rFonts w:ascii="宋体" w:hAnsi="宋体" w:cs="宋体" w:hint="eastAsia"/>
                <w:b/>
                <w:sz w:val="24"/>
                <w:szCs w:val="24"/>
              </w:rPr>
            </w:pPr>
            <w:r>
              <w:rPr>
                <w:rFonts w:ascii="宋体" w:hAnsi="宋体" w:cs="宋体" w:hint="eastAsia"/>
                <w:b/>
                <w:sz w:val="24"/>
                <w:szCs w:val="24"/>
              </w:rPr>
              <w:t>在籍</w:t>
            </w:r>
            <w:proofErr w:type="gramStart"/>
            <w:r>
              <w:rPr>
                <w:rFonts w:ascii="宋体" w:hAnsi="宋体" w:cs="宋体" w:hint="eastAsia"/>
                <w:b/>
                <w:sz w:val="24"/>
                <w:szCs w:val="24"/>
              </w:rPr>
              <w:t>生规模</w:t>
            </w:r>
            <w:proofErr w:type="gramEnd"/>
          </w:p>
        </w:tc>
        <w:tc>
          <w:tcPr>
            <w:tcW w:w="2776" w:type="dxa"/>
          </w:tcPr>
          <w:p w14:paraId="77E4B15D" w14:textId="77777777" w:rsidR="002B13DD" w:rsidRDefault="002B13DD" w:rsidP="00375B90">
            <w:pPr>
              <w:adjustRightInd w:val="0"/>
              <w:snapToGrid w:val="0"/>
              <w:spacing w:line="540" w:lineRule="exact"/>
              <w:jc w:val="center"/>
              <w:rPr>
                <w:rFonts w:ascii="宋体" w:hAnsi="宋体" w:cs="宋体" w:hint="eastAsia"/>
                <w:b/>
                <w:sz w:val="24"/>
                <w:szCs w:val="24"/>
              </w:rPr>
            </w:pPr>
            <w:r>
              <w:rPr>
                <w:rFonts w:ascii="宋体" w:hAnsi="宋体" w:cs="宋体" w:hint="eastAsia"/>
                <w:b/>
                <w:sz w:val="24"/>
                <w:szCs w:val="24"/>
              </w:rPr>
              <w:t>先进工作者名额（</w:t>
            </w:r>
            <w:proofErr w:type="gramStart"/>
            <w:r>
              <w:rPr>
                <w:rFonts w:ascii="宋体" w:hAnsi="宋体" w:cs="宋体" w:hint="eastAsia"/>
                <w:b/>
                <w:sz w:val="24"/>
                <w:szCs w:val="24"/>
              </w:rPr>
              <w:t>个</w:t>
            </w:r>
            <w:proofErr w:type="gramEnd"/>
            <w:r>
              <w:rPr>
                <w:rFonts w:ascii="宋体" w:hAnsi="宋体" w:cs="宋体" w:hint="eastAsia"/>
                <w:b/>
                <w:sz w:val="24"/>
                <w:szCs w:val="24"/>
              </w:rPr>
              <w:t>）</w:t>
            </w:r>
          </w:p>
        </w:tc>
      </w:tr>
      <w:tr w:rsidR="002B13DD" w14:paraId="1061A99B" w14:textId="77777777" w:rsidTr="00375B90">
        <w:trPr>
          <w:trHeight w:val="90"/>
          <w:jc w:val="center"/>
        </w:trPr>
        <w:tc>
          <w:tcPr>
            <w:tcW w:w="1234" w:type="dxa"/>
          </w:tcPr>
          <w:p w14:paraId="7A9AB446" w14:textId="77777777" w:rsidR="002B13DD" w:rsidRDefault="002B13DD" w:rsidP="00375B90">
            <w:pPr>
              <w:adjustRightInd w:val="0"/>
              <w:snapToGrid w:val="0"/>
              <w:spacing w:line="540" w:lineRule="exact"/>
              <w:jc w:val="center"/>
              <w:rPr>
                <w:rFonts w:ascii="宋体" w:hAnsi="宋体" w:cs="宋体" w:hint="eastAsia"/>
                <w:sz w:val="24"/>
                <w:szCs w:val="24"/>
              </w:rPr>
            </w:pPr>
            <w:r>
              <w:rPr>
                <w:rFonts w:ascii="宋体" w:hAnsi="宋体" w:cs="宋体" w:hint="eastAsia"/>
                <w:sz w:val="24"/>
                <w:szCs w:val="24"/>
              </w:rPr>
              <w:t>1</w:t>
            </w:r>
          </w:p>
        </w:tc>
        <w:tc>
          <w:tcPr>
            <w:tcW w:w="4212" w:type="dxa"/>
          </w:tcPr>
          <w:p w14:paraId="1C02D8DE" w14:textId="77777777" w:rsidR="002B13DD" w:rsidRDefault="002B13DD" w:rsidP="00375B90">
            <w:pPr>
              <w:adjustRightInd w:val="0"/>
              <w:snapToGrid w:val="0"/>
              <w:spacing w:line="540" w:lineRule="exact"/>
              <w:jc w:val="center"/>
              <w:rPr>
                <w:rFonts w:ascii="宋体" w:hAnsi="宋体" w:cs="宋体" w:hint="eastAsia"/>
                <w:sz w:val="24"/>
                <w:szCs w:val="24"/>
              </w:rPr>
            </w:pPr>
            <w:r>
              <w:rPr>
                <w:rFonts w:ascii="宋体" w:hAnsi="宋体" w:cs="宋体" w:hint="eastAsia"/>
                <w:sz w:val="24"/>
                <w:szCs w:val="24"/>
              </w:rPr>
              <w:t>在籍</w:t>
            </w:r>
            <w:proofErr w:type="gramStart"/>
            <w:r>
              <w:rPr>
                <w:rFonts w:ascii="宋体" w:hAnsi="宋体" w:cs="宋体" w:hint="eastAsia"/>
                <w:sz w:val="24"/>
                <w:szCs w:val="24"/>
              </w:rPr>
              <w:t>生规模</w:t>
            </w:r>
            <w:proofErr w:type="gramEnd"/>
            <w:r>
              <w:rPr>
                <w:rFonts w:ascii="宋体" w:hAnsi="宋体" w:cs="宋体" w:hint="eastAsia"/>
                <w:sz w:val="24"/>
                <w:szCs w:val="24"/>
              </w:rPr>
              <w:t>为校外教学点前15%</w:t>
            </w:r>
          </w:p>
        </w:tc>
        <w:tc>
          <w:tcPr>
            <w:tcW w:w="2776" w:type="dxa"/>
          </w:tcPr>
          <w:p w14:paraId="344684CE" w14:textId="77777777" w:rsidR="002B13DD" w:rsidRDefault="002B13DD" w:rsidP="00375B90">
            <w:pPr>
              <w:adjustRightInd w:val="0"/>
              <w:snapToGrid w:val="0"/>
              <w:spacing w:line="540" w:lineRule="exact"/>
              <w:jc w:val="center"/>
              <w:rPr>
                <w:rFonts w:ascii="宋体" w:hAnsi="宋体" w:cs="宋体" w:hint="eastAsia"/>
                <w:sz w:val="24"/>
                <w:szCs w:val="24"/>
              </w:rPr>
            </w:pPr>
            <w:r>
              <w:rPr>
                <w:rFonts w:ascii="宋体" w:hAnsi="宋体" w:cs="宋体" w:hint="eastAsia"/>
                <w:sz w:val="24"/>
                <w:szCs w:val="24"/>
              </w:rPr>
              <w:t>3</w:t>
            </w:r>
          </w:p>
        </w:tc>
      </w:tr>
      <w:tr w:rsidR="002B13DD" w14:paraId="60E964CE" w14:textId="77777777" w:rsidTr="00375B90">
        <w:trPr>
          <w:jc w:val="center"/>
        </w:trPr>
        <w:tc>
          <w:tcPr>
            <w:tcW w:w="1234" w:type="dxa"/>
          </w:tcPr>
          <w:p w14:paraId="0DB45FD3" w14:textId="77777777" w:rsidR="002B13DD" w:rsidRDefault="002B13DD" w:rsidP="00375B90">
            <w:pPr>
              <w:adjustRightInd w:val="0"/>
              <w:snapToGrid w:val="0"/>
              <w:spacing w:line="540" w:lineRule="exact"/>
              <w:jc w:val="center"/>
              <w:rPr>
                <w:rFonts w:ascii="宋体" w:hAnsi="宋体" w:cs="宋体" w:hint="eastAsia"/>
                <w:sz w:val="24"/>
                <w:szCs w:val="24"/>
              </w:rPr>
            </w:pPr>
            <w:r>
              <w:rPr>
                <w:rFonts w:ascii="宋体" w:hAnsi="宋体" w:cs="宋体" w:hint="eastAsia"/>
                <w:sz w:val="24"/>
                <w:szCs w:val="24"/>
              </w:rPr>
              <w:t>2</w:t>
            </w:r>
          </w:p>
        </w:tc>
        <w:tc>
          <w:tcPr>
            <w:tcW w:w="4212" w:type="dxa"/>
          </w:tcPr>
          <w:p w14:paraId="5BCCE430" w14:textId="77777777" w:rsidR="002B13DD" w:rsidRDefault="002B13DD" w:rsidP="00375B90">
            <w:pPr>
              <w:adjustRightInd w:val="0"/>
              <w:snapToGrid w:val="0"/>
              <w:spacing w:line="540" w:lineRule="exact"/>
              <w:jc w:val="center"/>
              <w:rPr>
                <w:rFonts w:ascii="宋体" w:hAnsi="宋体" w:cs="宋体" w:hint="eastAsia"/>
                <w:sz w:val="24"/>
                <w:szCs w:val="24"/>
              </w:rPr>
            </w:pPr>
            <w:r>
              <w:rPr>
                <w:rFonts w:ascii="宋体" w:hAnsi="宋体" w:cs="宋体" w:hint="eastAsia"/>
                <w:sz w:val="24"/>
                <w:szCs w:val="24"/>
              </w:rPr>
              <w:t>在籍</w:t>
            </w:r>
            <w:proofErr w:type="gramStart"/>
            <w:r>
              <w:rPr>
                <w:rFonts w:ascii="宋体" w:hAnsi="宋体" w:cs="宋体" w:hint="eastAsia"/>
                <w:sz w:val="24"/>
                <w:szCs w:val="24"/>
              </w:rPr>
              <w:t>生规模</w:t>
            </w:r>
            <w:proofErr w:type="gramEnd"/>
            <w:r>
              <w:rPr>
                <w:rFonts w:ascii="宋体" w:hAnsi="宋体" w:cs="宋体" w:hint="eastAsia"/>
                <w:sz w:val="24"/>
                <w:szCs w:val="24"/>
              </w:rPr>
              <w:t>为校外教学点16%-30%</w:t>
            </w:r>
          </w:p>
        </w:tc>
        <w:tc>
          <w:tcPr>
            <w:tcW w:w="2776" w:type="dxa"/>
          </w:tcPr>
          <w:p w14:paraId="5E5AEAAA" w14:textId="77777777" w:rsidR="002B13DD" w:rsidRDefault="002B13DD" w:rsidP="00375B90">
            <w:pPr>
              <w:adjustRightInd w:val="0"/>
              <w:snapToGrid w:val="0"/>
              <w:spacing w:line="540" w:lineRule="exact"/>
              <w:jc w:val="center"/>
              <w:rPr>
                <w:rFonts w:ascii="宋体" w:hAnsi="宋体" w:cs="宋体" w:hint="eastAsia"/>
                <w:sz w:val="24"/>
                <w:szCs w:val="24"/>
              </w:rPr>
            </w:pPr>
            <w:r>
              <w:rPr>
                <w:rFonts w:ascii="宋体" w:hAnsi="宋体" w:cs="宋体" w:hint="eastAsia"/>
                <w:sz w:val="24"/>
                <w:szCs w:val="24"/>
              </w:rPr>
              <w:t>2</w:t>
            </w:r>
          </w:p>
        </w:tc>
      </w:tr>
      <w:tr w:rsidR="002B13DD" w14:paraId="396E8797" w14:textId="77777777" w:rsidTr="00375B90">
        <w:trPr>
          <w:jc w:val="center"/>
        </w:trPr>
        <w:tc>
          <w:tcPr>
            <w:tcW w:w="1234" w:type="dxa"/>
          </w:tcPr>
          <w:p w14:paraId="74CD25FF" w14:textId="77777777" w:rsidR="002B13DD" w:rsidRDefault="002B13DD" w:rsidP="00375B90">
            <w:pPr>
              <w:adjustRightInd w:val="0"/>
              <w:snapToGrid w:val="0"/>
              <w:spacing w:line="540" w:lineRule="exact"/>
              <w:jc w:val="center"/>
              <w:rPr>
                <w:rFonts w:ascii="宋体" w:hAnsi="宋体" w:cs="宋体" w:hint="eastAsia"/>
                <w:sz w:val="24"/>
                <w:szCs w:val="24"/>
              </w:rPr>
            </w:pPr>
            <w:r>
              <w:rPr>
                <w:rFonts w:ascii="宋体" w:hAnsi="宋体" w:cs="宋体" w:hint="eastAsia"/>
                <w:sz w:val="24"/>
                <w:szCs w:val="24"/>
              </w:rPr>
              <w:t>3</w:t>
            </w:r>
          </w:p>
        </w:tc>
        <w:tc>
          <w:tcPr>
            <w:tcW w:w="4212" w:type="dxa"/>
          </w:tcPr>
          <w:p w14:paraId="7D37AECE" w14:textId="77777777" w:rsidR="002B13DD" w:rsidRDefault="002B13DD" w:rsidP="00375B90">
            <w:pPr>
              <w:adjustRightInd w:val="0"/>
              <w:snapToGrid w:val="0"/>
              <w:spacing w:line="540" w:lineRule="exact"/>
              <w:jc w:val="center"/>
              <w:rPr>
                <w:rFonts w:ascii="宋体" w:hAnsi="宋体" w:cs="宋体" w:hint="eastAsia"/>
                <w:sz w:val="24"/>
                <w:szCs w:val="24"/>
              </w:rPr>
            </w:pPr>
            <w:r>
              <w:rPr>
                <w:rFonts w:ascii="宋体" w:hAnsi="宋体" w:cs="宋体" w:hint="eastAsia"/>
                <w:sz w:val="24"/>
                <w:szCs w:val="24"/>
              </w:rPr>
              <w:t>在籍</w:t>
            </w:r>
            <w:proofErr w:type="gramStart"/>
            <w:r>
              <w:rPr>
                <w:rFonts w:ascii="宋体" w:hAnsi="宋体" w:cs="宋体" w:hint="eastAsia"/>
                <w:sz w:val="24"/>
                <w:szCs w:val="24"/>
              </w:rPr>
              <w:t>生规模</w:t>
            </w:r>
            <w:proofErr w:type="gramEnd"/>
            <w:r>
              <w:rPr>
                <w:rFonts w:ascii="宋体" w:hAnsi="宋体" w:cs="宋体" w:hint="eastAsia"/>
                <w:sz w:val="24"/>
                <w:szCs w:val="24"/>
              </w:rPr>
              <w:t>为校外教学点31%-50%</w:t>
            </w:r>
          </w:p>
        </w:tc>
        <w:tc>
          <w:tcPr>
            <w:tcW w:w="2776" w:type="dxa"/>
          </w:tcPr>
          <w:p w14:paraId="5C3A08C0" w14:textId="77777777" w:rsidR="002B13DD" w:rsidRDefault="002B13DD" w:rsidP="00375B90">
            <w:pPr>
              <w:adjustRightInd w:val="0"/>
              <w:snapToGrid w:val="0"/>
              <w:spacing w:line="540" w:lineRule="exact"/>
              <w:jc w:val="center"/>
              <w:rPr>
                <w:rFonts w:ascii="宋体" w:hAnsi="宋体" w:cs="宋体"/>
                <w:sz w:val="24"/>
                <w:szCs w:val="24"/>
              </w:rPr>
            </w:pPr>
            <w:r>
              <w:rPr>
                <w:rFonts w:ascii="宋体" w:hAnsi="宋体" w:cs="宋体" w:hint="eastAsia"/>
                <w:sz w:val="24"/>
                <w:szCs w:val="24"/>
              </w:rPr>
              <w:t>1</w:t>
            </w:r>
          </w:p>
        </w:tc>
      </w:tr>
    </w:tbl>
    <w:p w14:paraId="60547D87"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对未履行合作办学协议、未按照学院要求开展工作、存在违规办学等情况的校外教学点视情况扣减先进工作者名额。</w:t>
      </w:r>
    </w:p>
    <w:p w14:paraId="24607D6F" w14:textId="77777777" w:rsidR="002B13DD" w:rsidRDefault="002B13DD" w:rsidP="002B13DD">
      <w:pPr>
        <w:adjustRightInd w:val="0"/>
        <w:snapToGrid w:val="0"/>
        <w:spacing w:line="540" w:lineRule="exact"/>
        <w:ind w:firstLineChars="200" w:firstLine="643"/>
        <w:rPr>
          <w:rFonts w:ascii="黑体" w:eastAsia="黑体" w:hAnsi="黑体" w:cs="黑体" w:hint="eastAsia"/>
          <w:sz w:val="32"/>
          <w:szCs w:val="32"/>
        </w:rPr>
      </w:pPr>
      <w:r>
        <w:rPr>
          <w:rFonts w:ascii="仿宋_GB2312" w:eastAsia="仿宋_GB2312" w:hAnsi="仿宋_GB2312" w:cs="仿宋_GB2312" w:hint="eastAsia"/>
          <w:b/>
          <w:bCs/>
          <w:sz w:val="32"/>
          <w:szCs w:val="32"/>
        </w:rPr>
        <w:t>第四条 评选条件</w:t>
      </w:r>
    </w:p>
    <w:p w14:paraId="24B8D98D" w14:textId="77777777" w:rsidR="002B13DD" w:rsidRDefault="002B13DD" w:rsidP="002B13DD">
      <w:pPr>
        <w:adjustRightInd w:val="0"/>
        <w:snapToGrid w:val="0"/>
        <w:spacing w:line="54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（一）优秀校外教学点</w:t>
      </w:r>
    </w:p>
    <w:p w14:paraId="627EC1F9" w14:textId="77777777" w:rsidR="002B13DD" w:rsidRDefault="002B13DD" w:rsidP="002B13DD">
      <w:pPr>
        <w:adjustRightInd w:val="0"/>
        <w:snapToGrid w:val="0"/>
        <w:spacing w:line="540" w:lineRule="exact"/>
        <w:ind w:firstLine="60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认真贯彻落实国家、地方有关高等学历继续教育的法规政策，遵守法律法规，落实立德树人根本任务，严格执行教育行政部门及我校的相关政策制度，履行协议规定的职责和义务，主动接受教育行政部门、我校或其他授权机构的监督检查和评估；</w:t>
      </w:r>
    </w:p>
    <w:p w14:paraId="33E45FCC" w14:textId="77777777" w:rsidR="002B13DD" w:rsidRDefault="002B13DD" w:rsidP="002B13DD">
      <w:pPr>
        <w:adjustRightInd w:val="0"/>
        <w:snapToGrid w:val="0"/>
        <w:spacing w:line="54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2.组织机构健全，场地、人员、设施、学习资源等基础设施完善，学生学习支持和服务工作及时到位；</w:t>
      </w:r>
    </w:p>
    <w:p w14:paraId="5B3BF5FE" w14:textId="77777777" w:rsidR="002B13DD" w:rsidRDefault="002B13DD" w:rsidP="002B13DD">
      <w:pPr>
        <w:adjustRightInd w:val="0"/>
        <w:snapToGrid w:val="0"/>
        <w:spacing w:line="54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3．严格按照学院要求组织开展招生工作，办学规模与自身基础条件相适应，连续招生两年（含）以上；</w:t>
      </w:r>
    </w:p>
    <w:p w14:paraId="2658E5CB" w14:textId="77777777" w:rsidR="002B13DD" w:rsidRDefault="002B13DD" w:rsidP="002B13DD">
      <w:pPr>
        <w:adjustRightInd w:val="0"/>
        <w:snapToGrid w:val="0"/>
        <w:spacing w:line="54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4.配合我校完成有关教学组织、学生活动组织与管理工作，做好辅导教师、管理人员等的推荐与管理工作；</w:t>
      </w:r>
    </w:p>
    <w:p w14:paraId="3B747264"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5.内部管理规章制度健全，档案资料齐备，能保障教学环节和具体措施的落实，学生毕业率较高；</w:t>
      </w:r>
    </w:p>
    <w:p w14:paraId="7D553167"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6.自觉保护学院信息化教学资源的知识产权，维护兰州大学的办学声誉；</w:t>
      </w:r>
    </w:p>
    <w:p w14:paraId="48553CC5"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管理办学经费，确保专款专用；严格按照学院规定的收费项目和收费标准收费，无乱收费现象；</w:t>
      </w:r>
    </w:p>
    <w:p w14:paraId="09093141"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8.年度办学过程未发生违规办学行为；</w:t>
      </w:r>
    </w:p>
    <w:p w14:paraId="40B33C5E" w14:textId="77777777" w:rsidR="002B13DD" w:rsidRDefault="002B13DD" w:rsidP="002B13DD">
      <w:pPr>
        <w:adjustRightInd w:val="0"/>
        <w:snapToGrid w:val="0"/>
        <w:spacing w:line="54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（二）先进工作者</w:t>
      </w:r>
    </w:p>
    <w:p w14:paraId="371FAD01" w14:textId="77777777" w:rsidR="002B13DD" w:rsidRDefault="002B13DD" w:rsidP="002B13DD">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1．认真贯彻落实党和国家的教育方针政策，遵纪守法，热心继续教育事业，工作责任心强；</w:t>
      </w:r>
    </w:p>
    <w:p w14:paraId="553CC472"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2．连续从事兰州大学高等学历继续教育管理工作两年以上；</w:t>
      </w:r>
    </w:p>
    <w:p w14:paraId="17493563"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3．工作积极努力，成效显著，规范开展招生宣传，有效组织生源；</w:t>
      </w:r>
    </w:p>
    <w:p w14:paraId="6E91E6FC"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4．熟悉学院高等学历继续教育各项业务工作流程，认真履行岗位职责，及时引导、督促学生完成各教学环节和学习任务，积极回答学生（考生）的问题和各类咨询；</w:t>
      </w:r>
    </w:p>
    <w:p w14:paraId="6E575172"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5．年度未发生教学管理事故。</w:t>
      </w:r>
    </w:p>
    <w:p w14:paraId="26DC8504" w14:textId="77777777" w:rsidR="002B13DD" w:rsidRDefault="002B13DD" w:rsidP="002B13DD">
      <w:pPr>
        <w:spacing w:line="54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bCs/>
          <w:sz w:val="32"/>
          <w:szCs w:val="32"/>
        </w:rPr>
        <w:t xml:space="preserve">第五条 </w:t>
      </w:r>
      <w:r>
        <w:rPr>
          <w:rFonts w:ascii="仿宋_GB2312" w:eastAsia="仿宋_GB2312" w:hAnsi="仿宋_GB2312" w:cs="仿宋_GB2312" w:hint="eastAsia"/>
          <w:b/>
          <w:sz w:val="32"/>
          <w:szCs w:val="32"/>
        </w:rPr>
        <w:t>评选程序</w:t>
      </w:r>
    </w:p>
    <w:p w14:paraId="74E7B501"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评优工作于每年进行，评选程序为：</w:t>
      </w:r>
    </w:p>
    <w:p w14:paraId="7817DD4C" w14:textId="77777777" w:rsidR="002B13DD" w:rsidRDefault="002B13DD" w:rsidP="002B13DD">
      <w:pPr>
        <w:spacing w:line="54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（一）申请推荐</w:t>
      </w:r>
    </w:p>
    <w:p w14:paraId="4691A937"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1.参加评优的校外教学点根据本年度工作情况，撰写《兰州大学网络与继续教育学院</w:t>
      </w:r>
      <w:r>
        <w:rPr>
          <w:rFonts w:ascii="仿宋_GB2312" w:eastAsia="仿宋_GB2312" w:hAnsi="仿宋_GB2312" w:cs="仿宋_GB2312" w:hint="eastAsia"/>
          <w:snapToGrid w:val="0"/>
          <w:kern w:val="0"/>
          <w:sz w:val="32"/>
          <w:szCs w:val="32"/>
        </w:rPr>
        <w:t>高等学历继续教育</w:t>
      </w:r>
      <w:r>
        <w:rPr>
          <w:rFonts w:ascii="仿宋_GB2312" w:eastAsia="仿宋_GB2312" w:hAnsi="仿宋_GB2312" w:cs="仿宋_GB2312" w:hint="eastAsia"/>
          <w:sz w:val="32"/>
          <w:szCs w:val="32"/>
        </w:rPr>
        <w:t>校外教学点××年度工作总结》，经校外教学点负责人审核盖章后提交学院；</w:t>
      </w:r>
    </w:p>
    <w:p w14:paraId="5D157F84"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2.校外教学</w:t>
      </w:r>
      <w:proofErr w:type="gramStart"/>
      <w:r>
        <w:rPr>
          <w:rFonts w:ascii="仿宋_GB2312" w:eastAsia="仿宋_GB2312" w:hAnsi="仿宋_GB2312" w:cs="仿宋_GB2312" w:hint="eastAsia"/>
          <w:sz w:val="32"/>
          <w:szCs w:val="32"/>
        </w:rPr>
        <w:t>点依据</w:t>
      </w:r>
      <w:proofErr w:type="gramEnd"/>
      <w:r>
        <w:rPr>
          <w:rFonts w:ascii="仿宋_GB2312" w:eastAsia="仿宋_GB2312" w:hAnsi="仿宋_GB2312" w:cs="仿宋_GB2312" w:hint="eastAsia"/>
          <w:sz w:val="32"/>
          <w:szCs w:val="32"/>
        </w:rPr>
        <w:t>评选条件推荐先进工作者，并填写《兰州大学网络与继续教育学院</w:t>
      </w:r>
      <w:r>
        <w:rPr>
          <w:rFonts w:ascii="仿宋_GB2312" w:eastAsia="仿宋_GB2312" w:hAnsi="仿宋_GB2312" w:cs="仿宋_GB2312" w:hint="eastAsia"/>
          <w:snapToGrid w:val="0"/>
          <w:kern w:val="0"/>
          <w:sz w:val="32"/>
          <w:szCs w:val="32"/>
        </w:rPr>
        <w:t>高等学历继续教育</w:t>
      </w:r>
      <w:r>
        <w:rPr>
          <w:rFonts w:ascii="仿宋_GB2312" w:eastAsia="仿宋_GB2312" w:hAnsi="仿宋_GB2312" w:cs="仿宋_GB2312" w:hint="eastAsia"/>
          <w:sz w:val="32"/>
          <w:szCs w:val="32"/>
        </w:rPr>
        <w:t>校外教学点××年度先进工作者推荐表》，经校外教学点负责人审核盖章后提交学院。</w:t>
      </w:r>
    </w:p>
    <w:p w14:paraId="1CC9D14F" w14:textId="77777777" w:rsidR="002B13DD" w:rsidRDefault="002B13DD" w:rsidP="002B13DD">
      <w:pPr>
        <w:spacing w:line="54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（二）资格审查</w:t>
      </w:r>
    </w:p>
    <w:p w14:paraId="056F7BD3"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学院对参与评优的校外教学点、先进工作者评选资格进行审查，并根据校外教学点年度综合考核结果和日常管理服务情况，提出优秀校外教学点和先进工作者评选建议名单，提交学院党政联席会议审定。</w:t>
      </w:r>
    </w:p>
    <w:p w14:paraId="20EE0301" w14:textId="77777777" w:rsidR="002B13DD" w:rsidRDefault="002B13DD" w:rsidP="002B13DD">
      <w:pPr>
        <w:spacing w:line="54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（三）确定名单</w:t>
      </w:r>
    </w:p>
    <w:p w14:paraId="65F5FD6D"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学院党政联席会议审定优秀校外教学点和先进工作者名单。</w:t>
      </w:r>
    </w:p>
    <w:p w14:paraId="2908240D" w14:textId="77777777" w:rsidR="002B13DD" w:rsidRDefault="002B13DD" w:rsidP="002B13DD">
      <w:pPr>
        <w:spacing w:line="54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（四）结果公示</w:t>
      </w:r>
    </w:p>
    <w:p w14:paraId="385BDE51" w14:textId="77777777" w:rsidR="002B13DD" w:rsidRDefault="002B13DD" w:rsidP="002B13DD">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对拟评定的优秀校外教学点和先进工作者在学院网站公示，公示期不少于3个工作日。公示后学院发布年度表彰文件。</w:t>
      </w:r>
    </w:p>
    <w:p w14:paraId="376C89DD" w14:textId="77777777" w:rsidR="002B13DD" w:rsidRDefault="002B13DD" w:rsidP="002B13DD">
      <w:pPr>
        <w:spacing w:line="54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（五）表彰奖励</w:t>
      </w:r>
    </w:p>
    <w:p w14:paraId="59F1C537" w14:textId="77777777" w:rsidR="002B13DD" w:rsidRDefault="002B13DD" w:rsidP="002B13DD">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表彰优秀校外教学点和先进工作者，颁发奖牌证书。</w:t>
      </w:r>
    </w:p>
    <w:p w14:paraId="2B27B855" w14:textId="77777777" w:rsidR="002B13DD" w:rsidRDefault="002B13DD" w:rsidP="002B13DD">
      <w:pPr>
        <w:adjustRightInd w:val="0"/>
        <w:snapToGrid w:val="0"/>
        <w:spacing w:line="54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本办法自公布之日起实施，原《兰州大学网络与继续教育学院优秀学习中心（教学站）和先进工作者评选办法》（</w:t>
      </w:r>
      <w:proofErr w:type="gramStart"/>
      <w:r>
        <w:rPr>
          <w:rFonts w:ascii="仿宋_GB2312" w:eastAsia="仿宋_GB2312" w:hAnsi="仿宋_GB2312" w:cs="仿宋_GB2312" w:hint="eastAsia"/>
          <w:sz w:val="32"/>
          <w:szCs w:val="32"/>
        </w:rPr>
        <w:t>网教院</w:t>
      </w:r>
      <w:proofErr w:type="gramEnd"/>
      <w:r>
        <w:rPr>
          <w:rFonts w:ascii="仿宋_GB2312" w:eastAsia="仿宋_GB2312" w:hAnsi="仿宋_GB2312" w:cs="仿宋_GB2312" w:hint="eastAsia"/>
          <w:sz w:val="32"/>
          <w:szCs w:val="32"/>
        </w:rPr>
        <w:t>发〔2019〕9号）同时废止。</w:t>
      </w:r>
    </w:p>
    <w:p w14:paraId="2DD75731" w14:textId="77777777" w:rsidR="002B13DD" w:rsidRDefault="002B13DD" w:rsidP="002B13DD">
      <w:pPr>
        <w:widowControl/>
        <w:spacing w:line="540" w:lineRule="exact"/>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 xml:space="preserve">第七条  </w:t>
      </w:r>
      <w:r>
        <w:rPr>
          <w:rFonts w:ascii="仿宋_GB2312" w:eastAsia="仿宋_GB2312" w:hAnsi="仿宋_GB2312" w:cs="仿宋_GB2312" w:hint="eastAsia"/>
          <w:sz w:val="32"/>
          <w:szCs w:val="32"/>
        </w:rPr>
        <w:t>本办法由兰州大学网络与继续教育学院负责解释。</w:t>
      </w:r>
    </w:p>
    <w:p w14:paraId="3938C320" w14:textId="77777777" w:rsidR="002B13DD" w:rsidRDefault="002B13DD" w:rsidP="002B13DD">
      <w:pPr>
        <w:widowControl/>
        <w:spacing w:line="560" w:lineRule="exact"/>
        <w:jc w:val="right"/>
        <w:rPr>
          <w:rFonts w:ascii="仿宋_GB2312" w:eastAsia="仿宋_GB2312" w:hAnsi="仿宋_GB2312" w:cs="仿宋_GB2312" w:hint="eastAsia"/>
          <w:sz w:val="32"/>
          <w:szCs w:val="32"/>
        </w:rPr>
      </w:pPr>
    </w:p>
    <w:p w14:paraId="51A271AC" w14:textId="77777777" w:rsidR="002B13DD" w:rsidRDefault="002B13DD" w:rsidP="002B13DD">
      <w:pPr>
        <w:widowControl/>
        <w:spacing w:line="560" w:lineRule="exact"/>
        <w:jc w:val="right"/>
        <w:rPr>
          <w:rFonts w:ascii="仿宋_GB2312" w:eastAsia="仿宋_GB2312" w:hAnsi="仿宋_GB2312" w:cs="仿宋_GB2312" w:hint="eastAsia"/>
          <w:sz w:val="32"/>
          <w:szCs w:val="32"/>
        </w:rPr>
      </w:pPr>
    </w:p>
    <w:p w14:paraId="5FEFC586" w14:textId="77777777" w:rsidR="002B13DD" w:rsidRDefault="002B13DD" w:rsidP="002B13DD">
      <w:pPr>
        <w:widowControl/>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兰州大学网络与继续教育学院</w:t>
      </w:r>
    </w:p>
    <w:p w14:paraId="0C79910E" w14:textId="77777777" w:rsidR="002B13DD" w:rsidRDefault="002B13DD" w:rsidP="002B13DD">
      <w:pPr>
        <w:adjustRightInd w:val="0"/>
        <w:snapToGrid w:val="0"/>
        <w:spacing w:line="560" w:lineRule="exact"/>
        <w:jc w:val="center"/>
        <w:rPr>
          <w:rFonts w:ascii="Times New Roman" w:eastAsia="仿宋" w:hAnsi="Times New Roman"/>
          <w:spacing w:val="-12"/>
          <w:sz w:val="32"/>
          <w:szCs w:val="32"/>
        </w:rPr>
      </w:pPr>
      <w:r>
        <w:rPr>
          <w:rFonts w:ascii="仿宋_GB2312" w:eastAsia="仿宋_GB2312" w:hAnsi="仿宋_GB2312" w:cs="仿宋_GB2312" w:hint="eastAsia"/>
          <w:sz w:val="32"/>
          <w:szCs w:val="32"/>
        </w:rPr>
        <w:t xml:space="preserve">                            2025年6月5日</w:t>
      </w:r>
    </w:p>
    <w:p w14:paraId="02FD4F47" w14:textId="77777777" w:rsidR="002B13DD" w:rsidRDefault="002B13DD"/>
    <w:sectPr w:rsidR="002B1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DD"/>
    <w:rsid w:val="002B13DD"/>
    <w:rsid w:val="002F0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58F1"/>
  <w15:chartTrackingRefBased/>
  <w15:docId w15:val="{D7DB33E7-DEE5-47FE-85F7-E66BA0CF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2B13DD"/>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2B13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3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3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3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3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3D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3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3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B13D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3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3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3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3DD"/>
    <w:rPr>
      <w:rFonts w:cstheme="majorBidi"/>
      <w:color w:val="2F5496" w:themeColor="accent1" w:themeShade="BF"/>
      <w:sz w:val="28"/>
      <w:szCs w:val="28"/>
    </w:rPr>
  </w:style>
  <w:style w:type="character" w:customStyle="1" w:styleId="50">
    <w:name w:val="标题 5 字符"/>
    <w:basedOn w:val="a0"/>
    <w:link w:val="5"/>
    <w:uiPriority w:val="9"/>
    <w:semiHidden/>
    <w:rsid w:val="002B13DD"/>
    <w:rPr>
      <w:rFonts w:cstheme="majorBidi"/>
      <w:color w:val="2F5496" w:themeColor="accent1" w:themeShade="BF"/>
      <w:sz w:val="24"/>
    </w:rPr>
  </w:style>
  <w:style w:type="character" w:customStyle="1" w:styleId="60">
    <w:name w:val="标题 6 字符"/>
    <w:basedOn w:val="a0"/>
    <w:link w:val="6"/>
    <w:uiPriority w:val="9"/>
    <w:semiHidden/>
    <w:rsid w:val="002B13DD"/>
    <w:rPr>
      <w:rFonts w:cstheme="majorBidi"/>
      <w:b/>
      <w:bCs/>
      <w:color w:val="2F5496" w:themeColor="accent1" w:themeShade="BF"/>
    </w:rPr>
  </w:style>
  <w:style w:type="character" w:customStyle="1" w:styleId="70">
    <w:name w:val="标题 7 字符"/>
    <w:basedOn w:val="a0"/>
    <w:link w:val="7"/>
    <w:uiPriority w:val="9"/>
    <w:semiHidden/>
    <w:rsid w:val="002B13DD"/>
    <w:rPr>
      <w:rFonts w:cstheme="majorBidi"/>
      <w:b/>
      <w:bCs/>
      <w:color w:val="595959" w:themeColor="text1" w:themeTint="A6"/>
    </w:rPr>
  </w:style>
  <w:style w:type="character" w:customStyle="1" w:styleId="80">
    <w:name w:val="标题 8 字符"/>
    <w:basedOn w:val="a0"/>
    <w:link w:val="8"/>
    <w:uiPriority w:val="9"/>
    <w:semiHidden/>
    <w:rsid w:val="002B13DD"/>
    <w:rPr>
      <w:rFonts w:cstheme="majorBidi"/>
      <w:color w:val="595959" w:themeColor="text1" w:themeTint="A6"/>
    </w:rPr>
  </w:style>
  <w:style w:type="character" w:customStyle="1" w:styleId="90">
    <w:name w:val="标题 9 字符"/>
    <w:basedOn w:val="a0"/>
    <w:link w:val="9"/>
    <w:uiPriority w:val="9"/>
    <w:semiHidden/>
    <w:rsid w:val="002B13DD"/>
    <w:rPr>
      <w:rFonts w:eastAsiaTheme="majorEastAsia" w:cstheme="majorBidi"/>
      <w:color w:val="595959" w:themeColor="text1" w:themeTint="A6"/>
    </w:rPr>
  </w:style>
  <w:style w:type="paragraph" w:styleId="a3">
    <w:name w:val="Title"/>
    <w:basedOn w:val="a"/>
    <w:next w:val="a"/>
    <w:link w:val="a4"/>
    <w:uiPriority w:val="10"/>
    <w:qFormat/>
    <w:rsid w:val="002B13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3DD"/>
    <w:pPr>
      <w:spacing w:before="160"/>
      <w:jc w:val="center"/>
    </w:pPr>
    <w:rPr>
      <w:i/>
      <w:iCs/>
      <w:color w:val="404040" w:themeColor="text1" w:themeTint="BF"/>
    </w:rPr>
  </w:style>
  <w:style w:type="character" w:customStyle="1" w:styleId="a8">
    <w:name w:val="引用 字符"/>
    <w:basedOn w:val="a0"/>
    <w:link w:val="a7"/>
    <w:uiPriority w:val="29"/>
    <w:rsid w:val="002B13DD"/>
    <w:rPr>
      <w:i/>
      <w:iCs/>
      <w:color w:val="404040" w:themeColor="text1" w:themeTint="BF"/>
    </w:rPr>
  </w:style>
  <w:style w:type="paragraph" w:styleId="a9">
    <w:name w:val="List Paragraph"/>
    <w:basedOn w:val="a"/>
    <w:uiPriority w:val="34"/>
    <w:qFormat/>
    <w:rsid w:val="002B13DD"/>
    <w:pPr>
      <w:ind w:left="720"/>
      <w:contextualSpacing/>
    </w:pPr>
  </w:style>
  <w:style w:type="character" w:styleId="aa">
    <w:name w:val="Intense Emphasis"/>
    <w:basedOn w:val="a0"/>
    <w:uiPriority w:val="21"/>
    <w:qFormat/>
    <w:rsid w:val="002B13DD"/>
    <w:rPr>
      <w:i/>
      <w:iCs/>
      <w:color w:val="2F5496" w:themeColor="accent1" w:themeShade="BF"/>
    </w:rPr>
  </w:style>
  <w:style w:type="paragraph" w:styleId="ab">
    <w:name w:val="Intense Quote"/>
    <w:basedOn w:val="a"/>
    <w:next w:val="a"/>
    <w:link w:val="ac"/>
    <w:uiPriority w:val="30"/>
    <w:qFormat/>
    <w:rsid w:val="002B1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3DD"/>
    <w:rPr>
      <w:i/>
      <w:iCs/>
      <w:color w:val="2F5496" w:themeColor="accent1" w:themeShade="BF"/>
    </w:rPr>
  </w:style>
  <w:style w:type="character" w:styleId="ad">
    <w:name w:val="Intense Reference"/>
    <w:basedOn w:val="a0"/>
    <w:uiPriority w:val="32"/>
    <w:qFormat/>
    <w:rsid w:val="002B13DD"/>
    <w:rPr>
      <w:b/>
      <w:bCs/>
      <w:smallCaps/>
      <w:color w:val="2F5496" w:themeColor="accent1" w:themeShade="BF"/>
      <w:spacing w:val="5"/>
    </w:rPr>
  </w:style>
  <w:style w:type="table" w:styleId="ae">
    <w:name w:val="Table Grid"/>
    <w:basedOn w:val="a1"/>
    <w:rsid w:val="002B13DD"/>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张巧灵</dc:creator>
  <cp:keywords/>
  <dc:description/>
  <cp:lastModifiedBy>车明雨</cp:lastModifiedBy>
  <cp:revision>1</cp:revision>
  <dcterms:created xsi:type="dcterms:W3CDTF">2025-09-10T07:05:00Z</dcterms:created>
  <dcterms:modified xsi:type="dcterms:W3CDTF">2025-09-10T07:06:00Z</dcterms:modified>
</cp:coreProperties>
</file>