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5E5B" w14:textId="520F12C4" w:rsidR="00407D1D" w:rsidRDefault="00407D1D" w:rsidP="00407D1D">
      <w:pPr>
        <w:adjustRightInd w:val="0"/>
        <w:snapToGrid w:val="0"/>
        <w:spacing w:line="560" w:lineRule="exact"/>
        <w:jc w:val="left"/>
        <w:rPr>
          <w:rFonts w:ascii="Times New Roman" w:eastAsia="仿宋" w:hAnsi="Times New Roman" w:hint="eastAsia"/>
          <w:spacing w:val="-12"/>
          <w:sz w:val="32"/>
          <w:szCs w:val="32"/>
        </w:rPr>
      </w:pPr>
      <w:r>
        <w:rPr>
          <w:rFonts w:ascii="Times New Roman" w:eastAsia="仿宋" w:hAnsi="Times New Roman"/>
          <w:spacing w:val="-12"/>
          <w:sz w:val="32"/>
          <w:szCs w:val="32"/>
        </w:rPr>
        <w:t>附件</w:t>
      </w:r>
      <w:r>
        <w:rPr>
          <w:rFonts w:ascii="Times New Roman" w:eastAsia="仿宋" w:hAnsi="Times New Roman" w:hint="eastAsia"/>
          <w:spacing w:val="-12"/>
          <w:sz w:val="32"/>
          <w:szCs w:val="32"/>
        </w:rPr>
        <w:t>2</w:t>
      </w:r>
    </w:p>
    <w:p w14:paraId="4F26AA64" w14:textId="77777777" w:rsidR="00407D1D" w:rsidRDefault="00407D1D" w:rsidP="00407D1D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  <w:t>兰州大学网络与继续教育学院</w:t>
      </w:r>
    </w:p>
    <w:p w14:paraId="1963964C" w14:textId="77777777" w:rsidR="00407D1D" w:rsidRDefault="00407D1D" w:rsidP="00407D1D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napToGrid w:val="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  <w:t>高等学历继续教育××校外教学点2024年度工作总结</w:t>
      </w:r>
    </w:p>
    <w:p w14:paraId="1C899E87" w14:textId="77777777" w:rsidR="00407D1D" w:rsidRDefault="00407D1D" w:rsidP="00407D1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总结要点：（3000字以内）</w:t>
      </w:r>
    </w:p>
    <w:p w14:paraId="66936E5E" w14:textId="77777777" w:rsidR="00407D1D" w:rsidRDefault="00407D1D" w:rsidP="00407D1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一、落实国家和学校工作要求情况。</w:t>
      </w:r>
    </w:p>
    <w:p w14:paraId="40FDF75F" w14:textId="77777777" w:rsidR="00407D1D" w:rsidRDefault="00407D1D" w:rsidP="00407D1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二、工作开展情况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（招生宣传、生源组织、教学管理、考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管理、实践教学、学生服务等）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。</w:t>
      </w:r>
    </w:p>
    <w:p w14:paraId="6A07CE93" w14:textId="77777777" w:rsidR="00407D1D" w:rsidRDefault="00407D1D" w:rsidP="00407D1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三、问题及不足。</w:t>
      </w:r>
    </w:p>
    <w:p w14:paraId="488CE027" w14:textId="77777777" w:rsidR="00407D1D" w:rsidRDefault="00407D1D" w:rsidP="00407D1D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四、下一步工作计划。</w:t>
      </w:r>
    </w:p>
    <w:p w14:paraId="6EB4882A" w14:textId="77777777" w:rsidR="00407D1D" w:rsidRPr="00407D1D" w:rsidRDefault="00407D1D" w:rsidP="00407D1D">
      <w:pPr>
        <w:spacing w:line="560" w:lineRule="exact"/>
      </w:pPr>
    </w:p>
    <w:sectPr w:rsidR="00407D1D" w:rsidRPr="0040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1D"/>
    <w:rsid w:val="002F00BD"/>
    <w:rsid w:val="004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6D94"/>
  <w15:chartTrackingRefBased/>
  <w15:docId w15:val="{BF5B32EA-848C-4A67-BD6A-BC7FF42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407D1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D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张巧灵</dc:creator>
  <cp:keywords/>
  <dc:description/>
  <cp:lastModifiedBy>车明雨</cp:lastModifiedBy>
  <cp:revision>1</cp:revision>
  <dcterms:created xsi:type="dcterms:W3CDTF">2025-09-10T07:06:00Z</dcterms:created>
  <dcterms:modified xsi:type="dcterms:W3CDTF">2025-09-10T07:06:00Z</dcterms:modified>
</cp:coreProperties>
</file>